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1.png" ContentType="image/png"/>
  <Override PartName="/word/media/rId64.png" ContentType="image/png"/>
  <Override PartName="/word/media/rId67.png" ContentType="image/png"/>
  <Override PartName="/word/media/rId70.png" ContentType="image/png"/>
  <Override PartName="/word/media/rId74.png" ContentType="image/png"/>
  <Override PartName="/word/media/rId77.png" ContentType="image/png"/>
  <Override PartName="/word/media/rId80.png" ContentType="image/png"/>
  <Override PartName="/word/media/rId83.png" ContentType="image/png"/>
  <Override PartName="/word/media/rId88.png" ContentType="image/png"/>
  <Override PartName="/word/media/rId91.png" ContentType="image/png"/>
  <Override PartName="/word/media/rId94.png" ContentType="image/png"/>
  <Override PartName="/word/media/rId97.png" ContentType="image/png"/>
  <Override PartName="/word/media/rId101.png" ContentType="image/png"/>
  <Override PartName="/word/media/rId104.png" ContentType="image/png"/>
  <Override PartName="/word/media/rId107.png" ContentType="image/png"/>
  <Override PartName="/word/media/rId110.png" ContentType="image/png"/>
  <Override PartName="/word/media/rId114.png" ContentType="image/png"/>
  <Override PartName="/word/media/rId117.png" ContentType="image/png"/>
  <Override PartName="/word/media/rId120.png" ContentType="image/png"/>
  <Override PartName="/word/media/rId123.png" ContentType="image/png"/>
  <Override PartName="/word/media/rId129.png" ContentType="image/png"/>
  <Override PartName="/word/media/rId136.png" ContentType="image/png"/>
  <Override PartName="/word/media/rId133.png" ContentType="image/png"/>
  <Override PartName="/word/media/rId140.png" ContentType="image/png"/>
  <Override PartName="/word/media/rId144.png" ContentType="image/png"/>
  <Override PartName="/word/media/rId148.png" ContentType="image/png"/>
  <Override PartName="/word/media/rId152.png" ContentType="image/png"/>
  <Override PartName="/word/media/rId21.png" ContentType="image/png"/>
  <Override PartName="/word/media/rId33.png" ContentType="image/png"/>
  <Override PartName="/word/media/rId179.png" ContentType="image/png"/>
  <Override PartName="/word/media/rId183.png" ContentType="image/png"/>
  <Override PartName="/word/media/rId1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CYP1A2</w:t>
      </w:r>
      <w:r>
        <w:t xml:space="preserve"> </w:t>
      </w:r>
      <w:r>
        <w:t xml:space="preserve">DDI</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https://github.com/Open-Systems-Pharmacology/Qualification-DDI-CYP1A2/releases/tag/v1.0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3.3</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2" w:name="introduction"/>
    <w:p>
      <w:pPr>
        <w:pStyle w:val="Heading1"/>
      </w:pPr>
      <w:r>
        <w:t xml:space="preserve">Introduction</w:t>
      </w:r>
      <w:bookmarkStart w:id="introduction" w:name="introduction"/>
      <w:bookmarkEnd w:id="introduction"/>
    </w:p>
    <w:bookmarkStart w:id="20" w:name="objective"/>
    <w:p>
      <w:pPr>
        <w:pStyle w:val="Heading2"/>
      </w:pPr>
      <w:r>
        <w:t xml:space="preserve">Objective</w:t>
      </w:r>
      <w:bookmarkStart w:id="objective" w:name="objective"/>
      <w:bookmarkEnd w:id="objective"/>
    </w:p>
    <w:p>
      <w:pPr>
        <w:pStyle w:val="FirstParagraph"/>
      </w:pPr>
      <w:r>
        <w:t xml:space="preserve">This qualification report evaluates the developed PBPK drug-drug interactions (DDI) models network for the ability to perform simulations with the intended purpose to predict cytochrome P450 1A2 (</w:t>
      </w:r>
      <w:r>
        <w:rPr>
          <w:bCs/>
          <w:b/>
        </w:rPr>
        <w:t xml:space="preserve">CYPA12</w:t>
      </w:r>
      <w:r>
        <w:t xml:space="preserve">)-mediated DDI.</w:t>
      </w:r>
    </w:p>
    <w:p>
      <w:pPr>
        <w:pStyle w:val="BodyText"/>
      </w:pPr>
      <w:r>
        <w:t xml:space="preserve">To demonstrate the level of confidence, the predictive performance of the platform for this intended purpose is assessed via a network of PBPK models of selected index CYP1A2 DDI perpetrators, and respective sensitive CYP1A2 victim drugs and a comprehensive dataset from published clinical DDI studies. All PBPK models represent whole-body PBPK models, which allow dynamic DDI simulations in organs expressing CYP1A2.</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documented and provided open-source (https://github.com/Open-Systems-Pharmacology/OSP-Qualification-Reports). The same applies for all presented PBPK models including</w:t>
      </w:r>
      <w:r>
        <w:t xml:space="preserve"> </w:t>
      </w:r>
      <w:r>
        <w:rPr>
          <w:iCs/>
          <w:i/>
        </w:rPr>
        <w:t xml:space="preserve">evaluation reports</w:t>
      </w:r>
      <w:r>
        <w:t xml:space="preserve"> </w:t>
      </w:r>
      <w:r>
        <w:t xml:space="preserve">on model building and evaluation of each model (https://github.com/Open-Systems-Pharmacology/OSP-PBPK-Model-Library).</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35fe92667ca3af706dc11f9b1f72c825b03acdf">
        <w:r>
          <w:rPr>
            <w:rStyle w:val="Hyperlink"/>
          </w:rPr>
          <w:t xml:space="preserve">Section 1.2</w:t>
        </w:r>
      </w:hyperlink>
      <w:r>
        <w:t xml:space="preserve">).</w:t>
      </w:r>
    </w:p>
    <w:p>
      <w:pPr>
        <w:pStyle w:val="BodyText"/>
      </w:pPr>
      <w:r>
        <w:t xml:space="preserve">Please refer to the</w:t>
      </w:r>
      <w:r>
        <w:t xml:space="preserve"> </w:t>
      </w:r>
      <w:hyperlink w:anchor="X40f374b9830cd9a87879598bf35f88583812f8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e55518894ff70dc129a27b6571cd3c7a81fbb1d">
        <w:r>
          <w:rPr>
            <w:rStyle w:val="Hyperlink"/>
          </w:rPr>
          <w:t xml:space="preserve">Section 6.1</w:t>
        </w:r>
      </w:hyperlink>
    </w:p>
    <w:p>
      <w:pPr>
        <w:numPr>
          <w:ilvl w:val="0"/>
          <w:numId w:val="1001"/>
        </w:numPr>
      </w:pPr>
      <w:hyperlink w:anchor="Xa994d208843f8ce4ee88754f58d713140a6cb5b">
        <w:r>
          <w:rPr>
            <w:rStyle w:val="Hyperlink"/>
          </w:rPr>
          <w:t xml:space="preserve">Section 6.2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a9c9b6fa1a87153ecc6229fdbbf948a6dc14750">
        <w:r>
          <w:rPr>
            <w:rStyle w:val="Hyperlink"/>
          </w:rPr>
          <w:t xml:space="preserve">Section 6.3</w:t>
        </w:r>
      </w:hyperlink>
      <w:r>
        <w:t xml:space="preserve">.</w:t>
      </w:r>
    </w:p>
    <w:bookmarkEnd w:id="20"/>
    <w:bookmarkStart w:id="31" w:name="cyp1a2-ddi-network"/>
    <w:p>
      <w:pPr>
        <w:pStyle w:val="Heading2"/>
      </w:pPr>
      <w:r>
        <w:t xml:space="preserve">CYP1A2 DDI Network</w:t>
      </w:r>
      <w:bookmarkStart w:id="cyp1a2-ddi-network" w:name="cyp1a2-ddi-network"/>
      <w:bookmarkEnd w:id="cyp1a2-ddi-network"/>
    </w:p>
    <w:p>
      <w:pPr>
        <w:pStyle w:val="FirstParagraph"/>
      </w:pPr>
      <w:r>
        <w:t xml:space="preserve">CYP1A2 is involved in the elimination of about 15% of all therapeutic drugs (e.g., clozapine, tacrine, tizanidine, and theophylline), a number of procarcinogens (e.g. benzo[</w:t>
      </w:r>
      <w:r>
        <w:rPr>
          <w:iCs/>
          <w:i/>
        </w:rPr>
        <w:t xml:space="preserve">a</w:t>
      </w:r>
      <w:r>
        <w:t xml:space="preserve">]pyrene and aflatoxin B1), and several important endogenous compounds (e.g. steroids and arachidonic acids) (</w:t>
      </w:r>
      <w:hyperlink w:anchor="Xa559bd5247f9128e74e6edcc17de37648e8cde6">
        <w:r>
          <w:rPr>
            <w:rStyle w:val="Hyperlink"/>
          </w:rPr>
          <w:t xml:space="preserve">Zhou 2009</w:t>
        </w:r>
      </w:hyperlink>
      <w:r>
        <w:t xml:space="preserve">,</w:t>
      </w:r>
      <w:r>
        <w:t xml:space="preserve"> </w:t>
      </w:r>
      <w:hyperlink w:anchor="Xa559bd5247f9128e74e6edcc17de37648e8cde6">
        <w:r>
          <w:rPr>
            <w:rStyle w:val="Hyperlink"/>
          </w:rPr>
          <w:t xml:space="preserve">Goldstein 2001</w:t>
        </w:r>
      </w:hyperlink>
      <w:r>
        <w:t xml:space="preserve">). This enzyme is exclusively expressed in the liver and can be markedly induced by smoking. Well-known substrates of CYP1A2 include caffeine and tizanidine.</w:t>
      </w:r>
    </w:p>
    <w:p>
      <w:pPr>
        <w:pStyle w:val="BodyText"/>
      </w:pPr>
      <w:r>
        <w:t xml:space="preserve">Like other CYPs, CYP1A2 is subject to induction and/or inhibition by a number of compounds, which can result in significant drug interactions in clinical practice.</w:t>
      </w:r>
    </w:p>
    <w:p>
      <w:pPr>
        <w:pStyle w:val="BodyText"/>
      </w:pPr>
      <w:r>
        <w:t xml:space="preserve">The U.S. Food and Drug Administration (FDA) lists several perpetrator and victim drugs of interactions in the CYP1A2 network (</w:t>
      </w:r>
      <w:hyperlink w:anchor="Xa559bd5247f9128e74e6edcc17de37648e8cde6">
        <w:r>
          <w:rPr>
            <w:rStyle w:val="Hyperlink"/>
          </w:rPr>
          <w:t xml:space="preserve">FDA</w:t>
        </w:r>
      </w:hyperlink>
      <w:r>
        <w:t xml:space="preserve">). For instance, caffeine and tizanidine are classified as sensitive index substrates for CYP1A2, and fluvoxamine is listed as a strong clinical index inhibitor of CYP1A2.</w:t>
      </w:r>
    </w:p>
    <w:p>
      <w:pPr>
        <w:pStyle w:val="BodyText"/>
      </w:pPr>
      <w:r>
        <w:t xml:space="preserve">To qualify the developed models for the prediction of the CYP1A2 DDI potential of new drugs, a set of verified PBPK models of index perpetrators and respective CYP1A2 DDI victim drugs is specified to set up a CYP1A2-mediated DDI modeling network.</w:t>
      </w:r>
    </w:p>
    <w:p>
      <w:pPr>
        <w:pStyle w:val="BodyText"/>
      </w:pPr>
      <w:r>
        <w:t xml:space="preserve">The following perpetrator compounds were selected:</w:t>
      </w:r>
    </w:p>
    <w:p>
      <w:pPr>
        <w:numPr>
          <w:ilvl w:val="0"/>
          <w:numId w:val="1002"/>
        </w:numPr>
        <w:pStyle w:val="Compact"/>
      </w:pPr>
      <w:r>
        <w:rPr>
          <w:bCs/>
          <w:b/>
        </w:rPr>
        <w:t xml:space="preserve">Fluvoxamine</w:t>
      </w:r>
      <w:r>
        <w:t xml:space="preserve"> </w:t>
      </w:r>
      <w:r>
        <w:t xml:space="preserve">(strong CYP1A2 inhibitor)</w:t>
      </w:r>
      <w:r>
        <w:t xml:space="preserve"> </w:t>
      </w:r>
      <w:r>
        <w:t xml:space="preserve">Model snapshot and evaluation plan (</w:t>
      </w:r>
      <w:r>
        <w:rPr>
          <w:iCs/>
          <w:i/>
        </w:rPr>
        <w:t xml:space="preserve">release</w:t>
      </w:r>
      <w:r>
        <w:t xml:space="preserve"> </w:t>
      </w:r>
      <w:r>
        <w:rPr>
          <w:bCs/>
          <w:b/>
        </w:rPr>
        <w:t xml:space="preserve">alt_v1.0</w:t>
      </w:r>
      <w:r>
        <w:t xml:space="preserve">): https://github.com/Open-Systems-Pharmacology/Fluvoxamine-Model/releases/tag/alt_v1.0</w:t>
      </w:r>
    </w:p>
    <w:p>
      <w:pPr>
        <w:numPr>
          <w:ilvl w:val="0"/>
          <w:numId w:val="1002"/>
        </w:numPr>
        <w:pStyle w:val="Compact"/>
      </w:pPr>
      <w:r>
        <w:rPr>
          <w:bCs/>
          <w:b/>
        </w:rPr>
        <w:t xml:space="preserve">Ethinylestradiol</w:t>
      </w:r>
      <w:r>
        <w:t xml:space="preserve"> </w:t>
      </w:r>
      <w:r>
        <w:t xml:space="preserve">(moderate CYP1A2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https://github.com/Open-Systems-Pharmacology/Ethinylestradiol-Model/releases/tag/v1.1</w:t>
      </w:r>
    </w:p>
    <w:p>
      <w:pPr>
        <w:numPr>
          <w:ilvl w:val="0"/>
          <w:numId w:val="1002"/>
        </w:numPr>
        <w:pStyle w:val="Compact"/>
      </w:pPr>
      <w:r>
        <w:rPr>
          <w:bCs/>
          <w:b/>
        </w:rPr>
        <w:t xml:space="preserve">Mexiletine</w:t>
      </w:r>
      <w:r>
        <w:t xml:space="preserve"> </w:t>
      </w:r>
      <w:r>
        <w:t xml:space="preserve">(moderate CYP1A2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https://github.com/Open-Systems-Pharmacology/Mexiletine-Model/releases/tag/v1.1</w:t>
      </w:r>
    </w:p>
    <w:p>
      <w:pPr>
        <w:pStyle w:val="FirstParagraph"/>
      </w:pPr>
      <w:r>
        <w:t xml:space="preserve">The following sensitive CYP1A2 substrates as victim drugs were selected:</w:t>
      </w:r>
    </w:p>
    <w:p>
      <w:pPr>
        <w:numPr>
          <w:ilvl w:val="0"/>
          <w:numId w:val="1003"/>
        </w:numPr>
        <w:pStyle w:val="Compact"/>
      </w:pPr>
      <w:r>
        <w:rPr>
          <w:bCs/>
          <w:b/>
        </w:rPr>
        <w:t xml:space="preserve">Caffeine</w:t>
      </w:r>
      <w:r>
        <w:t xml:space="preserve"> </w:t>
      </w:r>
      <w:r>
        <w:t xml:space="preserve">PK-Sim compound template</w:t>
      </w:r>
    </w:p>
    <w:p>
      <w:pPr>
        <w:numPr>
          <w:ilvl w:val="0"/>
          <w:numId w:val="1003"/>
        </w:numPr>
        <w:pStyle w:val="Compact"/>
      </w:pPr>
      <w:r>
        <w:rPr>
          <w:bCs/>
          <w:b/>
        </w:rPr>
        <w:t xml:space="preserve">Tizanidine</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https://github.com/Open-Systems-Pharmacology/Tizanidine-Model/releases/tag/v1.1</w:t>
      </w:r>
    </w:p>
    <w:p>
      <w:pPr>
        <w:numPr>
          <w:ilvl w:val="0"/>
          <w:numId w:val="1003"/>
        </w:numPr>
        <w:pStyle w:val="Compact"/>
      </w:pPr>
      <w:r>
        <w:rPr>
          <w:bCs/>
          <w:b/>
        </w:rPr>
        <w:t xml:space="preserve">Mexiletine</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https://github.com/Open-Systems-Pharmacology/Mexiletine-Model/releases/tag/v1.1</w:t>
      </w:r>
    </w:p>
    <w:p>
      <w:pPr>
        <w:pStyle w:val="FirstParagraph"/>
      </w:pPr>
      <w:r>
        <w:t xml:space="preserve">The following interaction studies were predicted and used to qualify/optimize the final network:</w:t>
      </w:r>
    </w:p>
    <w:p>
      <w:pPr>
        <w:numPr>
          <w:ilvl w:val="0"/>
          <w:numId w:val="1004"/>
        </w:numPr>
      </w:pPr>
      <w:r>
        <w:t xml:space="preserve">Strong CYP1A2 inhibition</w:t>
      </w:r>
    </w:p>
    <w:p>
      <w:pPr>
        <w:numPr>
          <w:ilvl w:val="1"/>
          <w:numId w:val="1005"/>
        </w:numPr>
        <w:pStyle w:val="Compact"/>
      </w:pPr>
      <w:r>
        <w:t xml:space="preserve">Fluvoxamine - caffeine</w:t>
      </w:r>
    </w:p>
    <w:p>
      <w:pPr>
        <w:numPr>
          <w:ilvl w:val="1"/>
          <w:numId w:val="1005"/>
        </w:numPr>
        <w:pStyle w:val="Compact"/>
      </w:pPr>
      <w:r>
        <w:t xml:space="preserve">Fluvoxamine - tizanidine</w:t>
      </w:r>
    </w:p>
    <w:p>
      <w:pPr>
        <w:numPr>
          <w:ilvl w:val="1"/>
          <w:numId w:val="1005"/>
        </w:numPr>
        <w:pStyle w:val="Compact"/>
      </w:pPr>
      <w:r>
        <w:t xml:space="preserve">Fluvoxamine - mexiletine</w:t>
      </w:r>
    </w:p>
    <w:p>
      <w:pPr>
        <w:numPr>
          <w:ilvl w:val="0"/>
          <w:numId w:val="1004"/>
        </w:numPr>
      </w:pPr>
      <w:r>
        <w:t xml:space="preserve">Moderate CYP1A2 inhibition</w:t>
      </w:r>
    </w:p>
    <w:p>
      <w:pPr>
        <w:numPr>
          <w:ilvl w:val="1"/>
          <w:numId w:val="1006"/>
        </w:numPr>
        <w:pStyle w:val="Compact"/>
      </w:pPr>
      <w:r>
        <w:t xml:space="preserve">Mexiletine - caffeine</w:t>
      </w:r>
    </w:p>
    <w:p>
      <w:pPr>
        <w:numPr>
          <w:ilvl w:val="1"/>
          <w:numId w:val="1006"/>
        </w:numPr>
        <w:pStyle w:val="Compact"/>
      </w:pPr>
      <w:r>
        <w:t xml:space="preserve">Mexiletine - tizanidine</w:t>
      </w:r>
    </w:p>
    <w:p>
      <w:pPr>
        <w:numPr>
          <w:ilvl w:val="1"/>
          <w:numId w:val="1006"/>
        </w:numPr>
        <w:pStyle w:val="Compact"/>
      </w:pPr>
      <w:r>
        <w:t xml:space="preserve">Ethinylestradiol - caffeine</w:t>
      </w:r>
    </w:p>
    <w:p>
      <w:pPr>
        <w:numPr>
          <w:ilvl w:val="1"/>
          <w:numId w:val="1006"/>
        </w:numPr>
        <w:pStyle w:val="Compact"/>
      </w:pPr>
      <w:r>
        <w:t xml:space="preserve">Ethinylestradiol - tizanidine</w:t>
      </w:r>
    </w:p>
    <w:p>
      <w:pPr>
        <w:pStyle w:val="FirstParagraph"/>
      </w:pPr>
      <w:r>
        <w:rPr>
          <w:bCs/>
          <w:b/>
        </w:rPr>
        <w:t xml:space="preserve">Figure 1</w:t>
      </w:r>
      <w:r>
        <w:t xml:space="preserve"> </w:t>
      </w:r>
      <w:r>
        <w:t xml:space="preserve">shows the specified and developed DDI modeling network of interacting perpetrator and victim drugs.</w:t>
      </w:r>
    </w:p>
    <w:p>
      <w:pPr>
        <w:pStyle w:val="BodyText"/>
      </w:pPr>
      <w:r>
        <w:rPr>
          <w:bCs/>
          <w:b/>
        </w:rPr>
        <w:t xml:space="preserve">Figure</w:t>
      </w:r>
      <w:r>
        <w:t xml:space="preserve"> </w:t>
      </w:r>
      <w:r>
        <w:rPr>
          <w:bCs/>
          <w:b/>
        </w:rPr>
        <w:t xml:space="preserve">1: CYP1A2 DDI modeling network</w:t>
      </w:r>
    </w:p>
    <w:br w:type="page"/>
    <w:p>
      <w:pPr>
        <w:pStyle w:val="BodyText"/>
      </w:pPr>
      <w:bookmarkStart w:id="figure-1-1" w:name="figure-1-1"/>
      <w:bookmarkEnd w:id="figure-1-1"/>
    </w:p>
    <w:p>
      <w:pPr>
        <w:pStyle w:val="CaptionedFigure"/>
      </w:pPr>
      <w:r>
        <w:drawing>
          <wp:inline>
            <wp:extent cx="5969000" cy="3428842"/>
            <wp:effectExtent b="0" l="0" r="0" t="0"/>
            <wp:docPr descr="DDI CYP1A2 network" title="" id="22" name="Picture"/>
            <a:graphic>
              <a:graphicData uri="http://schemas.openxmlformats.org/drawingml/2006/picture">
                <pic:pic>
                  <pic:nvPicPr>
                    <pic:cNvPr descr="images/DDI_CYP1A2_Compound_Network.png" id="23" name="Picture"/>
                    <pic:cNvPicPr>
                      <a:picLocks noChangeArrowheads="1" noChangeAspect="1"/>
                    </pic:cNvPicPr>
                  </pic:nvPicPr>
                  <pic:blipFill>
                    <a:blip r:embed="rId21"/>
                    <a:stretch>
                      <a:fillRect/>
                    </a:stretch>
                  </pic:blipFill>
                  <pic:spPr bwMode="auto">
                    <a:xfrm>
                      <a:off x="0" y="0"/>
                      <a:ext cx="5969000" cy="3428842"/>
                    </a:xfrm>
                    <a:prstGeom prst="rect">
                      <a:avLst/>
                    </a:prstGeom>
                    <a:noFill/>
                    <a:ln w="9525">
                      <a:noFill/>
                      <a:headEnd/>
                      <a:tailEnd/>
                    </a:ln>
                  </pic:spPr>
                </pic:pic>
              </a:graphicData>
            </a:graphic>
          </wp:inline>
        </w:drawing>
      </w:r>
    </w:p>
    <w:p>
      <w:pPr>
        <w:pStyle w:val="ImageCaption"/>
      </w:pPr>
      <w:r>
        <w:t xml:space="preserve">DDI CYP1A2 network</w:t>
      </w:r>
    </w:p>
    <w:p>
      <w:pPr>
        <w:pStyle w:val="BodyText"/>
      </w:pPr>
      <w:r>
        <w:t xml:space="preserve">The Ki values used to predict the interactions are listed in</w:t>
      </w:r>
      <w:r>
        <w:t xml:space="preserve"> </w:t>
      </w:r>
      <w:hyperlink w:anchor="table-1">
        <w:r>
          <w:rPr>
            <w:rStyle w:val="Hyperlink"/>
          </w:rPr>
          <w:t xml:space="preserve">Table 1</w:t>
        </w:r>
      </w:hyperlink>
      <w:r>
        <w:t xml:space="preserve">.</w:t>
      </w:r>
    </w:p>
    <w:tbl>
      <w:tblPr>
        <w:tblStyle w:val="Table"/>
        <w:tblW w:type="pct" w:w="5000"/>
        <w:tblLook w:firstRow="1" w:lastRow="0" w:firstColumn="0" w:lastColumn="0" w:noHBand="0" w:noVBand="0" w:val="0020"/>
        <w:jc w:val="start"/>
      </w:tblPr>
      <w:tblGrid>
        <w:gridCol w:w="1936"/>
        <w:gridCol w:w="1848"/>
        <w:gridCol w:w="1144"/>
        <w:gridCol w:w="792"/>
        <w:gridCol w:w="2200"/>
      </w:tblGrid>
      <w:tr>
        <w:trPr>
          <w:tblHeader w:val="true"/>
        </w:trPr>
        <w:tc>
          <w:tcPr/>
          <w:p>
            <w:pPr>
              <w:pStyle w:val="Compact"/>
              <w:jc w:val="left"/>
            </w:pPr>
            <w:r>
              <w:rPr>
                <w:bCs/>
                <w:b/>
              </w:rPr>
              <w:t xml:space="preserve">Inhibitor category</w:t>
            </w:r>
          </w:p>
        </w:tc>
        <w:tc>
          <w:tcPr/>
          <w:p>
            <w:pPr>
              <w:pStyle w:val="Compact"/>
              <w:jc w:val="left"/>
            </w:pPr>
            <w:r>
              <w:rPr>
                <w:bCs/>
                <w:b/>
              </w:rPr>
              <w:t xml:space="preserve">Inhibitor</w:t>
            </w:r>
          </w:p>
        </w:tc>
        <w:tc>
          <w:tcPr/>
          <w:p>
            <w:pPr>
              <w:pStyle w:val="Compact"/>
              <w:jc w:val="left"/>
            </w:pPr>
            <w:r>
              <w:rPr>
                <w:bCs/>
                <w:b/>
              </w:rPr>
              <w:t xml:space="preserve">Substrate</w:t>
            </w:r>
          </w:p>
        </w:tc>
        <w:tc>
          <w:tcPr/>
          <w:p>
            <w:pPr>
              <w:pStyle w:val="Compact"/>
              <w:jc w:val="left"/>
            </w:pPr>
            <w:r>
              <w:rPr>
                <w:bCs/>
                <w:b/>
              </w:rPr>
              <w:t xml:space="preserve">Ki</w:t>
            </w:r>
          </w:p>
        </w:tc>
        <w:tc>
          <w:tcPr/>
          <w:p>
            <w:pPr>
              <w:pStyle w:val="Compact"/>
              <w:jc w:val="left"/>
            </w:pPr>
            <w:r>
              <w:rPr>
                <w:bCs/>
                <w:b/>
              </w:rPr>
              <w:t xml:space="preserve">Reference</w:t>
            </w:r>
          </w:p>
        </w:tc>
      </w:tr>
      <w:tr>
        <w:tc>
          <w:tcPr/>
          <w:p>
            <w:pPr>
              <w:pStyle w:val="Compact"/>
              <w:jc w:val="left"/>
            </w:pPr>
            <w:r>
              <w:t xml:space="preserve">Strong CYP1A2</w:t>
            </w:r>
          </w:p>
        </w:tc>
        <w:tc>
          <w:tcPr/>
          <w:p>
            <w:pPr>
              <w:pStyle w:val="Compact"/>
              <w:jc w:val="left"/>
            </w:pPr>
            <w:r>
              <w:t xml:space="preserve">Fluvoxamine</w:t>
            </w:r>
          </w:p>
        </w:tc>
        <w:tc>
          <w:tcPr/>
          <w:p>
            <w:pPr>
              <w:pStyle w:val="Compact"/>
              <w:jc w:val="left"/>
            </w:pPr>
            <w:r>
              <w:t xml:space="preserve">caffeine</w:t>
            </w:r>
          </w:p>
        </w:tc>
        <w:tc>
          <w:tcPr/>
          <w:p>
            <w:pPr>
              <w:pStyle w:val="Compact"/>
              <w:jc w:val="left"/>
            </w:pPr>
            <w:r>
              <w:t xml:space="preserve">2.97 nM</w:t>
            </w:r>
          </w:p>
        </w:tc>
        <w:tc>
          <w:tcPr/>
          <w:p>
            <w:pPr>
              <w:pStyle w:val="Compact"/>
              <w:jc w:val="left"/>
            </w:pPr>
            <w:hyperlink w:anchor="Xa559bd5247f9128e74e6edcc17de37648e8cde6">
              <w:r>
                <w:rPr>
                  <w:rStyle w:val="Hyperlink"/>
                </w:rPr>
                <w:t xml:space="preserve">Iga 2016</w:t>
              </w:r>
            </w:hyperlink>
          </w:p>
        </w:tc>
      </w:tr>
      <w:tr>
        <w:tc>
          <w:tcPr/>
          <w:p>
            <w:pPr>
              <w:pStyle w:val="Compact"/>
            </w:pPr>
          </w:p>
        </w:tc>
        <w:tc>
          <w:tcPr/>
          <w:p>
            <w:pPr>
              <w:pStyle w:val="Compact"/>
            </w:pPr>
          </w:p>
        </w:tc>
        <w:tc>
          <w:tcPr/>
          <w:p>
            <w:pPr>
              <w:pStyle w:val="Compact"/>
              <w:jc w:val="left"/>
            </w:pPr>
            <w:r>
              <w:t xml:space="preserve">tizanidine</w:t>
            </w:r>
          </w:p>
        </w:tc>
        <w:tc>
          <w:tcPr/>
          <w:p>
            <w:pPr>
              <w:pStyle w:val="Compact"/>
              <w:jc w:val="left"/>
            </w:pPr>
            <w:r>
              <w:t xml:space="preserve">0.8697 nM</w:t>
            </w:r>
          </w:p>
        </w:tc>
        <w:tc>
          <w:tcPr/>
          <w:p>
            <w:pPr>
              <w:pStyle w:val="Compact"/>
              <w:jc w:val="left"/>
            </w:pPr>
            <w:r>
              <w:t xml:space="preserve">Fit</w:t>
            </w:r>
            <w:r>
              <w:rPr>
                <w:vertAlign w:val="superscript"/>
              </w:rPr>
              <w:t xml:space="preserve">1</w:t>
            </w:r>
          </w:p>
        </w:tc>
      </w:tr>
      <w:tr>
        <w:tc>
          <w:tcPr/>
          <w:p>
            <w:pPr>
              <w:pStyle w:val="Compact"/>
            </w:pPr>
          </w:p>
        </w:tc>
        <w:tc>
          <w:tcPr/>
          <w:p>
            <w:pPr>
              <w:pStyle w:val="Compact"/>
            </w:pPr>
          </w:p>
        </w:tc>
        <w:tc>
          <w:tcPr/>
          <w:p>
            <w:pPr>
              <w:pStyle w:val="Compact"/>
              <w:jc w:val="left"/>
            </w:pPr>
            <w:r>
              <w:t xml:space="preserve">mexiletine</w:t>
            </w:r>
          </w:p>
        </w:tc>
        <w:tc>
          <w:tcPr/>
          <w:p>
            <w:pPr>
              <w:pStyle w:val="Compact"/>
              <w:jc w:val="left"/>
            </w:pPr>
            <w:r>
              <w:t xml:space="preserve">2.97 nM</w:t>
            </w:r>
          </w:p>
        </w:tc>
        <w:tc>
          <w:tcPr/>
          <w:p>
            <w:pPr>
              <w:pStyle w:val="Compact"/>
              <w:jc w:val="left"/>
            </w:pPr>
            <w:hyperlink w:anchor="Xa559bd5247f9128e74e6edcc17de37648e8cde6">
              <w:r>
                <w:rPr>
                  <w:rStyle w:val="Hyperlink"/>
                </w:rPr>
                <w:t xml:space="preserve">Iga 2016</w:t>
              </w:r>
            </w:hyperlink>
          </w:p>
        </w:tc>
      </w:tr>
      <w:tr>
        <w:tc>
          <w:tcPr/>
          <w:p>
            <w:pPr>
              <w:pStyle w:val="Compact"/>
              <w:jc w:val="left"/>
            </w:pPr>
            <w:r>
              <w:t xml:space="preserve">Moderate CYP1A2</w:t>
            </w:r>
          </w:p>
        </w:tc>
        <w:tc>
          <w:tcPr/>
          <w:p>
            <w:pPr>
              <w:pStyle w:val="Compact"/>
              <w:jc w:val="left"/>
            </w:pPr>
            <w:r>
              <w:t xml:space="preserve">Mexiletine</w:t>
            </w:r>
          </w:p>
        </w:tc>
        <w:tc>
          <w:tcPr/>
          <w:p>
            <w:pPr>
              <w:pStyle w:val="Compact"/>
              <w:jc w:val="left"/>
            </w:pPr>
            <w:r>
              <w:t xml:space="preserve">caffeine</w:t>
            </w:r>
          </w:p>
        </w:tc>
        <w:tc>
          <w:tcPr/>
          <w:p>
            <w:pPr>
              <w:pStyle w:val="Compact"/>
              <w:jc w:val="left"/>
            </w:pPr>
            <w:r>
              <w:t xml:space="preserve">0.28 µM</w:t>
            </w:r>
          </w:p>
        </w:tc>
        <w:tc>
          <w:tcPr/>
          <w:p>
            <w:pPr>
              <w:pStyle w:val="Compact"/>
              <w:jc w:val="left"/>
            </w:pPr>
            <w:hyperlink w:anchor="Xa559bd5247f9128e74e6edcc17de37648e8cde6">
              <w:r>
                <w:rPr>
                  <w:rStyle w:val="Hyperlink"/>
                </w:rPr>
                <w:t xml:space="preserve">Wei 1999</w:t>
              </w:r>
            </w:hyperlink>
          </w:p>
        </w:tc>
      </w:tr>
      <w:tr>
        <w:tc>
          <w:tcPr/>
          <w:p>
            <w:pPr>
              <w:pStyle w:val="Compact"/>
            </w:pPr>
          </w:p>
        </w:tc>
        <w:tc>
          <w:tcPr/>
          <w:p>
            <w:pPr>
              <w:pStyle w:val="Compact"/>
            </w:pPr>
          </w:p>
        </w:tc>
        <w:tc>
          <w:tcPr/>
          <w:p>
            <w:pPr>
              <w:pStyle w:val="Compact"/>
              <w:jc w:val="left"/>
            </w:pPr>
            <w:r>
              <w:t xml:space="preserve">tizanidine</w:t>
            </w:r>
          </w:p>
        </w:tc>
        <w:tc>
          <w:tcPr/>
          <w:p>
            <w:pPr>
              <w:pStyle w:val="Compact"/>
              <w:jc w:val="left"/>
            </w:pPr>
            <w:r>
              <w:t xml:space="preserve">0.28 µM</w:t>
            </w:r>
          </w:p>
        </w:tc>
        <w:tc>
          <w:tcPr/>
          <w:p>
            <w:pPr>
              <w:pStyle w:val="Compact"/>
              <w:jc w:val="left"/>
            </w:pPr>
            <w:hyperlink w:anchor="Xa559bd5247f9128e74e6edcc17de37648e8cde6">
              <w:r>
                <w:rPr>
                  <w:rStyle w:val="Hyperlink"/>
                </w:rPr>
                <w:t xml:space="preserve">Wei 1999</w:t>
              </w:r>
            </w:hyperlink>
          </w:p>
        </w:tc>
      </w:tr>
      <w:tr>
        <w:tc>
          <w:tcPr/>
          <w:p>
            <w:pPr>
              <w:pStyle w:val="Compact"/>
            </w:pPr>
          </w:p>
        </w:tc>
        <w:tc>
          <w:tcPr/>
          <w:p>
            <w:pPr>
              <w:pStyle w:val="Compact"/>
              <w:jc w:val="left"/>
            </w:pPr>
            <w:r>
              <w:t xml:space="preserve">Ethinylestradiol (EE)</w:t>
            </w:r>
          </w:p>
        </w:tc>
        <w:tc>
          <w:tcPr/>
          <w:p>
            <w:pPr>
              <w:pStyle w:val="Compact"/>
              <w:jc w:val="left"/>
            </w:pPr>
            <w:r>
              <w:t xml:space="preserve">caffeine</w:t>
            </w:r>
          </w:p>
        </w:tc>
        <w:tc>
          <w:tcPr/>
          <w:p>
            <w:pPr>
              <w:pStyle w:val="Compact"/>
              <w:jc w:val="left"/>
            </w:pPr>
            <w:r>
              <w:t xml:space="preserve">0.48 µM</w:t>
            </w:r>
          </w:p>
        </w:tc>
        <w:tc>
          <w:tcPr/>
          <w:p>
            <w:pPr>
              <w:pStyle w:val="Compact"/>
              <w:jc w:val="left"/>
            </w:pPr>
            <w:r>
              <w:t xml:space="preserve">Fit</w:t>
            </w:r>
            <w:r>
              <w:rPr>
                <w:vertAlign w:val="superscript"/>
              </w:rPr>
              <w:t xml:space="preserve">2</w:t>
            </w:r>
          </w:p>
        </w:tc>
      </w:tr>
      <w:tr>
        <w:tc>
          <w:tcPr/>
          <w:p>
            <w:pPr>
              <w:pStyle w:val="Compact"/>
            </w:pPr>
          </w:p>
        </w:tc>
        <w:tc>
          <w:tcPr/>
          <w:p>
            <w:pPr>
              <w:pStyle w:val="Compact"/>
            </w:pPr>
          </w:p>
        </w:tc>
        <w:tc>
          <w:tcPr/>
          <w:p>
            <w:pPr>
              <w:pStyle w:val="Compact"/>
              <w:jc w:val="left"/>
            </w:pPr>
            <w:r>
              <w:t xml:space="preserve">tizanidine</w:t>
            </w:r>
          </w:p>
        </w:tc>
        <w:tc>
          <w:tcPr/>
          <w:p>
            <w:pPr>
              <w:pStyle w:val="Compact"/>
              <w:jc w:val="left"/>
            </w:pPr>
            <w:r>
              <w:t xml:space="preserve">0.48 µM</w:t>
            </w:r>
          </w:p>
        </w:tc>
        <w:tc>
          <w:tcPr/>
          <w:p>
            <w:pPr>
              <w:pStyle w:val="Compact"/>
              <w:jc w:val="left"/>
            </w:pPr>
            <w:r>
              <w:t xml:space="preserve">Fit</w:t>
            </w:r>
            <w:r>
              <w:rPr>
                <w:vertAlign w:val="superscript"/>
              </w:rPr>
              <w:t xml:space="preserve">2</w:t>
            </w:r>
          </w:p>
        </w:tc>
      </w:tr>
    </w:tbl>
    <w:p>
      <w:pPr>
        <w:pStyle w:val="BodyText"/>
      </w:pPr>
      <w:r>
        <w:rPr>
          <w:bCs/>
          <w:b/>
        </w:rPr>
        <w:t xml:space="preserve">Table 1:</w:t>
      </w:r>
      <w:r>
        <w:t xml:space="preserve"> </w:t>
      </w:r>
      <w:r>
        <w:t xml:space="preserve">Ki values used in CYP1A2 DDI network.</w:t>
      </w:r>
      <w:r>
        <w:t xml:space="preserve"> </w:t>
      </w:r>
      <w:r>
        <w:rPr>
          <w:vertAlign w:val="superscript"/>
        </w:rPr>
        <w:t xml:space="preserve">1</w:t>
      </w:r>
      <w:r>
        <w:t xml:space="preserve">Lowest literature value = 0.9 nM;</w:t>
      </w:r>
      <w:r>
        <w:t xml:space="preserve"> </w:t>
      </w:r>
      <w:r>
        <w:rPr>
          <w:vertAlign w:val="superscript"/>
        </w:rPr>
        <w:t xml:space="preserve">2</w:t>
      </w:r>
      <w:r>
        <w:t xml:space="preserve">Literature value = 10.6 µM</w:t>
      </w:r>
      <w:bookmarkStart w:id="table-1" w:name="table-1"/>
      <w:bookmarkEnd w:id="table-1"/>
    </w:p>
    <w:p>
      <w:pPr>
        <w:pStyle w:val="BodyText"/>
      </w:pPr>
      <w:r>
        <w:t xml:space="preserve">The published DDI studies between the respective perpetrators and victim drugs were simulated and compared to observed data. The following sections give an overview of the clinical studies being part of this qualification report.</w:t>
      </w:r>
    </w:p>
    <w:bookmarkStart w:id="24" w:name="caffeine---ethinylestradiol-ddi"/>
    <w:p>
      <w:pPr>
        <w:pStyle w:val="Heading3"/>
      </w:pPr>
      <w:r>
        <w:t xml:space="preserve">Caffeine - Ethinylestradiol DDI</w:t>
      </w:r>
      <w:bookmarkStart w:id="caffeine-ethinylestradiol-ddi" w:name="caffeine-ethinylestradiol-ddi"/>
      <w:bookmarkEnd w:id="caffeine-ethinylestradiol-ddi"/>
    </w:p>
    <w:p>
      <w:pPr>
        <w:pStyle w:val="FirstParagraph"/>
      </w:pPr>
      <w:r>
        <w:t xml:space="preserve">A dynamical DDI simulation with ethinylestradiol as CYP1A2 inhibitor and caffeine as victim was conducted and compared to literature data. No profiles of caffeine under this interaction were available, but</w:t>
      </w:r>
      <w:r>
        <w:t xml:space="preserve"> </w:t>
      </w:r>
      <w:hyperlink w:anchor="Xa559bd5247f9128e74e6edcc17de37648e8cde6">
        <w:r>
          <w:rPr>
            <w:rStyle w:val="Hyperlink"/>
          </w:rPr>
          <w:t xml:space="preserve">Balogh 1995</w:t>
        </w:r>
      </w:hyperlink>
      <w:r>
        <w:t xml:space="preserve"> </w:t>
      </w:r>
      <w:r>
        <w:t xml:space="preserve">reported a 55% decrease in caffeine CL due to ethinylestradiol co-administration and report AUCR and CmaxR.</w:t>
      </w:r>
    </w:p>
    <w:bookmarkEnd w:id="24"/>
    <w:bookmarkStart w:id="25" w:name="tizanidine---ethinylestradiol-ddi"/>
    <w:p>
      <w:pPr>
        <w:pStyle w:val="Heading3"/>
      </w:pPr>
      <w:r>
        <w:t xml:space="preserve">Tizanidine - Ethinylestradiol DDI</w:t>
      </w:r>
      <w:bookmarkStart w:id="tizanidine-ethinylestradiol-ddi" w:name="tizanidine-ethinylestradiol-ddi"/>
      <w:bookmarkEnd w:id="tizanidine-ethinylestradiol-ddi"/>
    </w:p>
    <w:p>
      <w:pPr>
        <w:pStyle w:val="FirstParagraph"/>
      </w:pPr>
      <w:r>
        <w:t xml:space="preserve">The tizanidine-ethinylestradiol interaction was evaluated using clinical DDI studies listed in</w:t>
      </w:r>
      <w:r>
        <w:t xml:space="preserve"> </w:t>
      </w:r>
      <w:hyperlink w:anchor="table-2">
        <w:r>
          <w:rPr>
            <w:rStyle w:val="Hyperlink"/>
          </w:rPr>
          <w:t xml:space="preserve">Table 2</w:t>
        </w:r>
      </w:hyperlink>
      <w:r>
        <w:t xml:space="preserve">.</w:t>
      </w:r>
    </w:p>
    <w:tbl>
      <w:tblPr>
        <w:tblStyle w:val="Table"/>
        <w:tblW w:type="pct" w:w="5000"/>
        <w:tblLook w:firstRow="1" w:lastRow="0" w:firstColumn="0" w:lastColumn="0" w:noHBand="0" w:noVBand="0" w:val="0020"/>
        <w:jc w:val="start"/>
      </w:tblPr>
      <w:tblGrid>
        <w:gridCol w:w="2400"/>
        <w:gridCol w:w="720"/>
        <w:gridCol w:w="2480"/>
        <w:gridCol w:w="640"/>
        <w:gridCol w:w="560"/>
        <w:gridCol w:w="400"/>
        <w:gridCol w:w="720"/>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 /</w:t>
            </w:r>
            <w:r>
              <w:t xml:space="preserve"> </w:t>
            </w:r>
            <w:r>
              <w:rPr>
                <w:bCs/>
                <w:b/>
              </w:rPr>
              <w:t xml:space="preserve">Schedule *</w:t>
            </w:r>
          </w:p>
        </w:tc>
        <w:tc>
          <w:tcPr/>
          <w:p>
            <w:pPr>
              <w:pStyle w:val="Compact"/>
              <w:jc w:val="left"/>
            </w:pPr>
            <w:r>
              <w:rPr>
                <w:bCs/>
                <w:b/>
              </w:rPr>
              <w:t xml:space="preserve">Pop.</w:t>
            </w:r>
          </w:p>
        </w:tc>
        <w:tc>
          <w:tcPr/>
          <w:p>
            <w:pPr>
              <w:pStyle w:val="Compact"/>
              <w:jc w:val="left"/>
            </w:pPr>
            <w:r>
              <w:rPr>
                <w:bCs/>
                <w:b/>
              </w:rPr>
              <w:t xml:space="preserve">Sex</w:t>
            </w:r>
          </w:p>
        </w:tc>
        <w:tc>
          <w:tcPr/>
          <w:p>
            <w:pPr>
              <w:pStyle w:val="Compact"/>
              <w:jc w:val="left"/>
            </w:pPr>
            <w:r>
              <w:rPr>
                <w:bCs/>
                <w:b/>
              </w:rPr>
              <w:t xml:space="preserve">N</w:t>
            </w:r>
          </w:p>
        </w:tc>
        <w:tc>
          <w:tcPr/>
          <w:p>
            <w:pPr>
              <w:pStyle w:val="Compact"/>
              <w:jc w:val="left"/>
            </w:pPr>
            <w:r>
              <w:rPr>
                <w:bCs/>
                <w:b/>
              </w:rPr>
              <w:t xml:space="preserve">Form.</w:t>
            </w:r>
          </w:p>
        </w:tc>
      </w:tr>
      <w:tr>
        <w:tc>
          <w:tcPr/>
          <w:p>
            <w:pPr>
              <w:pStyle w:val="Compact"/>
              <w:jc w:val="left"/>
            </w:pPr>
            <w:hyperlink w:anchor="Xa559bd5247f9128e74e6edcc17de37648e8cde6">
              <w:r>
                <w:rPr>
                  <w:rStyle w:val="Hyperlink"/>
                </w:rPr>
                <w:t xml:space="preserve">Granfors 2005</w:t>
              </w:r>
            </w:hyperlink>
          </w:p>
        </w:tc>
        <w:tc>
          <w:tcPr/>
          <w:p>
            <w:pPr>
              <w:pStyle w:val="Compact"/>
              <w:jc w:val="left"/>
            </w:pPr>
            <w:r>
              <w:t xml:space="preserve">p.o.</w:t>
            </w:r>
          </w:p>
        </w:tc>
        <w:tc>
          <w:tcPr/>
          <w:p>
            <w:pPr>
              <w:pStyle w:val="Compact"/>
              <w:jc w:val="left"/>
            </w:pPr>
            <w:r>
              <w:t xml:space="preserve">EE: 0.02</w:t>
            </w:r>
            <w:r>
              <w:t xml:space="preserve">Tizanidine: 4</w:t>
            </w:r>
          </w:p>
        </w:tc>
        <w:tc>
          <w:tcPr/>
          <w:p>
            <w:pPr>
              <w:pStyle w:val="Compact"/>
              <w:jc w:val="left"/>
            </w:pPr>
            <w:r>
              <w:t xml:space="preserve">HV</w:t>
            </w:r>
          </w:p>
        </w:tc>
        <w:tc>
          <w:tcPr/>
          <w:p>
            <w:pPr>
              <w:pStyle w:val="Compact"/>
              <w:jc w:val="left"/>
            </w:pPr>
            <w:r>
              <w:t xml:space="preserve">f</w:t>
            </w:r>
          </w:p>
        </w:tc>
        <w:tc>
          <w:tcPr/>
          <w:p>
            <w:pPr>
              <w:pStyle w:val="Compact"/>
              <w:jc w:val="left"/>
            </w:pPr>
            <w:r>
              <w:t xml:space="preserve">15</w:t>
            </w:r>
          </w:p>
        </w:tc>
        <w:tc>
          <w:tcPr/>
          <w:p>
            <w:pPr>
              <w:pStyle w:val="Compact"/>
              <w:jc w:val="left"/>
            </w:pPr>
            <w:r>
              <w:t xml:space="preserve">tablet</w:t>
            </w:r>
          </w:p>
        </w:tc>
      </w:tr>
    </w:tbl>
    <w:p>
      <w:pPr>
        <w:pStyle w:val="BodyText"/>
      </w:pPr>
      <w:r>
        <w:rPr>
          <w:bCs/>
          <w:b/>
        </w:rPr>
        <w:t xml:space="preserve">Table 2:</w:t>
      </w:r>
      <w:r>
        <w:t xml:space="preserve"> </w:t>
      </w:r>
      <w:r>
        <w:t xml:space="preserve">Literature sources of clinical concentration data of tizanidine used for DDI prediction qualification with ethinylestradiol.</w:t>
      </w:r>
      <w:r>
        <w:t xml:space="preserve"> </w:t>
      </w:r>
      <w:r>
        <w:rPr>
          <w:iCs/>
          <w:i/>
        </w:rPr>
        <w:t xml:space="preserve">EE: ethinylestradiol</w:t>
      </w:r>
      <w:bookmarkStart w:id="table-2" w:name="table-2"/>
      <w:bookmarkEnd w:id="table-2"/>
    </w:p>
    <w:p>
      <w:pPr>
        <w:pStyle w:val="BodyText"/>
      </w:pPr>
      <w:r>
        <w:t xml:space="preserve">A dynamical DDI simulation with ethinylestradiol as moderate CYP1A2 inhibitor and tizanidine as victim drug was conducted and compared to literature data. Clinical observations were derived from</w:t>
      </w:r>
      <w:r>
        <w:t xml:space="preserve"> </w:t>
      </w:r>
      <w:hyperlink w:anchor="Xa559bd5247f9128e74e6edcc17de37648e8cde6">
        <w:r>
          <w:rPr>
            <w:rStyle w:val="Hyperlink"/>
          </w:rPr>
          <w:t xml:space="preserve">Granfors 2005</w:t>
        </w:r>
      </w:hyperlink>
      <w:r>
        <w:t xml:space="preserve"> </w:t>
      </w:r>
      <w:r>
        <w:t xml:space="preserve">in which 15 healthy women using Oral contraceptives (OCs) (ethinylestradiol + gestodene) and 15 healthy women without OCs (control subjects) ingested a single dose of 4 mg tizanidine.</w:t>
      </w:r>
    </w:p>
    <w:bookmarkEnd w:id="25"/>
    <w:bookmarkStart w:id="26" w:name="caffeine---fluvoxamine-ddi"/>
    <w:p>
      <w:pPr>
        <w:pStyle w:val="Heading3"/>
      </w:pPr>
      <w:r>
        <w:t xml:space="preserve">Caffeine - Fluvoxamine DDI</w:t>
      </w:r>
      <w:bookmarkStart w:id="caffeine-fluvoxamine-ddi" w:name="caffeine-fluvoxamine-ddi"/>
      <w:bookmarkEnd w:id="caffeine-fluvoxamine-ddi"/>
    </w:p>
    <w:p>
      <w:pPr>
        <w:pStyle w:val="FirstParagraph"/>
      </w:pPr>
      <w:r>
        <w:t xml:space="preserve">The caffeine-fluvoxamine interaction was evaluated using clinical DDI studies listed in</w:t>
      </w:r>
      <w:r>
        <w:t xml:space="preserve"> </w:t>
      </w:r>
      <w:hyperlink w:anchor="table-3">
        <w:r>
          <w:rPr>
            <w:rStyle w:val="Hyperlink"/>
          </w:rPr>
          <w:t xml:space="preserve">Table 3</w:t>
        </w:r>
      </w:hyperlink>
      <w:r>
        <w:t xml:space="preserve">.</w:t>
      </w:r>
    </w:p>
    <w:tbl>
      <w:tblPr>
        <w:tblStyle w:val="Table"/>
        <w:tblW w:type="pct" w:w="5000"/>
        <w:tblLook w:firstRow="1" w:lastRow="0" w:firstColumn="0" w:lastColumn="0" w:noHBand="0" w:noVBand="0" w:val="0020"/>
        <w:jc w:val="start"/>
      </w:tblPr>
      <w:tblGrid>
        <w:gridCol w:w="1603"/>
        <w:gridCol w:w="437"/>
        <w:gridCol w:w="2818"/>
        <w:gridCol w:w="388"/>
        <w:gridCol w:w="777"/>
        <w:gridCol w:w="874"/>
        <w:gridCol w:w="340"/>
        <w:gridCol w:w="242"/>
        <w:gridCol w:w="437"/>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 /</w:t>
            </w:r>
            <w:r>
              <w:t xml:space="preserve"> </w:t>
            </w:r>
            <w:r>
              <w:rPr>
                <w:bCs/>
                <w:b/>
              </w:rPr>
              <w:t xml:space="preserve">Schedule *</w:t>
            </w:r>
          </w:p>
        </w:tc>
        <w:tc>
          <w:tcPr/>
          <w:p>
            <w:pPr>
              <w:pStyle w:val="Compact"/>
              <w:jc w:val="left"/>
            </w:pPr>
            <w:r>
              <w:rPr>
                <w:bCs/>
                <w:b/>
              </w:rPr>
              <w:t xml:space="preserve">Pop.</w:t>
            </w:r>
          </w:p>
        </w:tc>
        <w:tc>
          <w:tcPr/>
          <w:p>
            <w:pPr>
              <w:pStyle w:val="Compact"/>
              <w:jc w:val="left"/>
            </w:pPr>
            <w:r>
              <w:t xml:space="preserve">Age [yrs] (mean)</w:t>
            </w:r>
          </w:p>
        </w:tc>
        <w:tc>
          <w:tcPr/>
          <w:p>
            <w:pPr>
              <w:pStyle w:val="Compact"/>
              <w:jc w:val="left"/>
            </w:pPr>
            <w:r>
              <w:t xml:space="preserve">Weight [kg] (mean)</w:t>
            </w:r>
          </w:p>
        </w:tc>
        <w:tc>
          <w:tcPr/>
          <w:p>
            <w:pPr>
              <w:pStyle w:val="Compact"/>
              <w:jc w:val="left"/>
            </w:pPr>
            <w:r>
              <w:rPr>
                <w:bCs/>
                <w:b/>
              </w:rPr>
              <w:t xml:space="preserve">Sex</w:t>
            </w:r>
          </w:p>
        </w:tc>
        <w:tc>
          <w:tcPr/>
          <w:p>
            <w:pPr>
              <w:pStyle w:val="Compact"/>
              <w:jc w:val="left"/>
            </w:pPr>
            <w:r>
              <w:rPr>
                <w:bCs/>
                <w:b/>
              </w:rPr>
              <w:t xml:space="preserve">N</w:t>
            </w:r>
          </w:p>
        </w:tc>
        <w:tc>
          <w:tcPr/>
          <w:p>
            <w:pPr>
              <w:pStyle w:val="Compact"/>
              <w:jc w:val="left"/>
            </w:pPr>
            <w:r>
              <w:rPr>
                <w:bCs/>
                <w:b/>
              </w:rPr>
              <w:t xml:space="preserve">Form.</w:t>
            </w:r>
          </w:p>
        </w:tc>
      </w:tr>
      <w:tr>
        <w:tc>
          <w:tcPr/>
          <w:p>
            <w:pPr>
              <w:pStyle w:val="Compact"/>
              <w:jc w:val="left"/>
            </w:pPr>
            <w:hyperlink w:anchor="Xa559bd5247f9128e74e6edcc17de37648e8cde6">
              <w:r>
                <w:rPr>
                  <w:rStyle w:val="Hyperlink"/>
                </w:rPr>
                <w:t xml:space="preserve">Jeppesen 1996</w:t>
              </w:r>
            </w:hyperlink>
          </w:p>
        </w:tc>
        <w:tc>
          <w:tcPr/>
          <w:p>
            <w:pPr>
              <w:pStyle w:val="Compact"/>
              <w:jc w:val="left"/>
            </w:pPr>
            <w:r>
              <w:t xml:space="preserve">p.o.</w:t>
            </w:r>
          </w:p>
        </w:tc>
        <w:tc>
          <w:tcPr/>
          <w:p>
            <w:pPr>
              <w:pStyle w:val="Compact"/>
              <w:jc w:val="left"/>
            </w:pPr>
            <w:r>
              <w:t xml:space="preserve">200 caffeine,</w:t>
            </w:r>
            <w:r>
              <w:t xml:space="preserve">50 mg 4 days, 100 mg 8 days fluvoxamine</w:t>
            </w:r>
          </w:p>
        </w:tc>
        <w:tc>
          <w:tcPr/>
          <w:p>
            <w:pPr>
              <w:pStyle w:val="Compact"/>
              <w:jc w:val="left"/>
            </w:pPr>
            <w:r>
              <w:t xml:space="preserve">HV</w:t>
            </w:r>
          </w:p>
        </w:tc>
        <w:tc>
          <w:tcPr/>
          <w:p>
            <w:pPr>
              <w:pStyle w:val="Compact"/>
              <w:jc w:val="left"/>
            </w:pPr>
            <w:r>
              <w:t xml:space="preserve">27</w:t>
            </w:r>
          </w:p>
        </w:tc>
        <w:tc>
          <w:tcPr/>
          <w:p>
            <w:pPr>
              <w:pStyle w:val="Compact"/>
              <w:jc w:val="left"/>
            </w:pPr>
            <w:r>
              <w:t xml:space="preserve">-</w:t>
            </w:r>
          </w:p>
        </w:tc>
        <w:tc>
          <w:tcPr/>
          <w:p>
            <w:pPr>
              <w:pStyle w:val="Compact"/>
              <w:jc w:val="left"/>
            </w:pPr>
            <w:r>
              <w:t xml:space="preserve">-</w:t>
            </w:r>
          </w:p>
        </w:tc>
        <w:tc>
          <w:tcPr/>
          <w:p>
            <w:pPr>
              <w:pStyle w:val="Compact"/>
              <w:jc w:val="left"/>
            </w:pPr>
            <w:r>
              <w:t xml:space="preserve">8</w:t>
            </w:r>
          </w:p>
        </w:tc>
        <w:tc>
          <w:tcPr/>
          <w:p>
            <w:pPr>
              <w:pStyle w:val="Compact"/>
              <w:jc w:val="left"/>
            </w:pPr>
            <w:r>
              <w:t xml:space="preserve">Tablet</w:t>
            </w:r>
          </w:p>
        </w:tc>
      </w:tr>
      <w:tr>
        <w:tc>
          <w:tcPr/>
          <w:p>
            <w:pPr>
              <w:pStyle w:val="Compact"/>
              <w:jc w:val="left"/>
            </w:pPr>
            <w:hyperlink w:anchor="Xa559bd5247f9128e74e6edcc17de37648e8cde6">
              <w:r>
                <w:rPr>
                  <w:rStyle w:val="Hyperlink"/>
                </w:rPr>
                <w:t xml:space="preserve">Culm-Merdek 2005</w:t>
              </w:r>
            </w:hyperlink>
          </w:p>
        </w:tc>
        <w:tc>
          <w:tcPr/>
          <w:p>
            <w:pPr>
              <w:pStyle w:val="Compact"/>
              <w:jc w:val="left"/>
            </w:pPr>
            <w:r>
              <w:t xml:space="preserve">p.o.</w:t>
            </w:r>
          </w:p>
        </w:tc>
        <w:tc>
          <w:tcPr/>
          <w:p>
            <w:pPr>
              <w:pStyle w:val="Compact"/>
              <w:jc w:val="left"/>
            </w:pPr>
            <w:r>
              <w:t xml:space="preserve">250 caffeine,</w:t>
            </w:r>
            <w:r>
              <w:t xml:space="preserve">100 b.i.d. fluvoxamine</w:t>
            </w:r>
          </w:p>
        </w:tc>
        <w:tc>
          <w:tcPr/>
          <w:p>
            <w:pPr>
              <w:pStyle w:val="Compact"/>
              <w:jc w:val="left"/>
            </w:pPr>
            <w:r>
              <w:t xml:space="preserve">HV</w:t>
            </w:r>
          </w:p>
        </w:tc>
        <w:tc>
          <w:tcPr/>
          <w:p>
            <w:pPr>
              <w:pStyle w:val="Compact"/>
              <w:jc w:val="left"/>
            </w:pPr>
            <w:r>
              <w:t xml:space="preserve">50</w:t>
            </w:r>
          </w:p>
        </w:tc>
        <w:tc>
          <w:tcPr/>
          <w:p>
            <w:pPr>
              <w:pStyle w:val="Compact"/>
              <w:jc w:val="left"/>
            </w:pPr>
            <w:r>
              <w:t xml:space="preserve">82</w:t>
            </w:r>
          </w:p>
        </w:tc>
        <w:tc>
          <w:tcPr/>
          <w:p>
            <w:pPr>
              <w:pStyle w:val="Compact"/>
              <w:jc w:val="left"/>
            </w:pPr>
            <w:r>
              <w:t xml:space="preserve">m/f</w:t>
            </w:r>
          </w:p>
        </w:tc>
        <w:tc>
          <w:tcPr/>
          <w:p>
            <w:pPr>
              <w:pStyle w:val="Compact"/>
              <w:jc w:val="left"/>
            </w:pPr>
            <w:r>
              <w:t xml:space="preserve">7</w:t>
            </w:r>
          </w:p>
        </w:tc>
        <w:tc>
          <w:tcPr/>
          <w:p>
            <w:pPr>
              <w:pStyle w:val="Compact"/>
              <w:jc w:val="left"/>
            </w:pPr>
            <w:r>
              <w:t xml:space="preserve">Capsule</w:t>
            </w:r>
          </w:p>
        </w:tc>
      </w:tr>
    </w:tbl>
    <w:p>
      <w:pPr>
        <w:pStyle w:val="BodyText"/>
      </w:pPr>
      <w:r>
        <w:rPr>
          <w:bCs/>
          <w:b/>
        </w:rPr>
        <w:t xml:space="preserve">Table 3:</w:t>
      </w:r>
      <w:r>
        <w:t xml:space="preserve"> </w:t>
      </w:r>
      <w:r>
        <w:t xml:space="preserve">Literature sources of clinical concentration data of caffeine used for DDI prediction qualification with fluvoxamine.</w:t>
      </w:r>
      <w:bookmarkStart w:id="table-3" w:name="table-3"/>
      <w:bookmarkEnd w:id="table-3"/>
    </w:p>
    <w:p>
      <w:pPr>
        <w:pStyle w:val="BodyText"/>
      </w:pPr>
      <w:r>
        <w:t xml:space="preserve">A dynamical DDI simulation with fluvoxamine as CYP1A2 inhibitor and caffeine as victim was conducted and compared to literature data. For caffeine the template model included in PK-Sim was used. Two published clinical studies were found where fluvoxamine and caffeine were given together. Fluvoxamine is a strong inhibitor of CYP1A2 and increases the AUC of caffeine by 7 to 14-fold.</w:t>
      </w:r>
    </w:p>
    <w:p>
      <w:pPr>
        <w:pStyle w:val="BodyText"/>
      </w:pPr>
      <w:r>
        <w:t xml:space="preserve">In</w:t>
      </w:r>
      <w:r>
        <w:t xml:space="preserve"> </w:t>
      </w:r>
      <w:hyperlink w:anchor="Xa559bd5247f9128e74e6edcc17de37648e8cde6">
        <w:r>
          <w:rPr>
            <w:rStyle w:val="Hyperlink"/>
          </w:rPr>
          <w:t xml:space="preserve">Jeppesen 1996</w:t>
        </w:r>
      </w:hyperlink>
      <w:r>
        <w:t xml:space="preserve">, subjects in one group received 50 mg fluvoxamine-maleate on the first 4 days followed by 100 mg q.d. for 8 days. On day 8 they received a single dose of 200 mg caffeine. The other group received caffeine without fluvoxamine co-treatment.</w:t>
      </w:r>
    </w:p>
    <w:p>
      <w:pPr>
        <w:pStyle w:val="BodyText"/>
      </w:pPr>
      <w:r>
        <w:t xml:space="preserve">In</w:t>
      </w:r>
      <w:r>
        <w:t xml:space="preserve"> </w:t>
      </w:r>
      <w:hyperlink w:anchor="Xa559bd5247f9128e74e6edcc17de37648e8cde6">
        <w:r>
          <w:rPr>
            <w:rStyle w:val="Hyperlink"/>
          </w:rPr>
          <w:t xml:space="preserve">Culm-Merdek 2005</w:t>
        </w:r>
      </w:hyperlink>
      <w:r>
        <w:t xml:space="preserve">, seven healthy subjects received single 250 mg dose of caffeine (or matching placebo) together with fluvoxamine (four doses of 100 mg over 2 days) or with matching placebo in a cross-over fashion.</w:t>
      </w:r>
    </w:p>
    <w:p>
      <w:pPr>
        <w:pStyle w:val="BodyText"/>
      </w:pPr>
      <w:r>
        <w:t xml:space="preserve">The simulated caffeine levels with co-administered fluvoxamine were underpredicted. However, the pre-dose concentrations of caffeine were not 0 in the test group. It may be speculated that subjects may not have refrained completely from caffeine containing beverages before the test period. To investigate this hypothesis, a simulation was conducted where a dose of 100 mg caffeine (corresponding approximately to the caffeine content of one cup of coffee (</w:t>
      </w:r>
      <w:hyperlink w:anchor="Xa559bd5247f9128e74e6edcc17de37648e8cde6">
        <w:r>
          <w:rPr>
            <w:rStyle w:val="Hyperlink"/>
          </w:rPr>
          <w:t xml:space="preserve">Caffeine quantities, FDA</w:t>
        </w:r>
      </w:hyperlink>
      <w:r>
        <w:t xml:space="preserve">)) was given 24 hours before the administration of caffeine-tablets as per the study protocol. The resulting simulation results support this hypothesis. Hence it was not deemed necessary to adjust the underlying caffeine or fluvoxamine models but rather conclude that the clinical study potentially was facing issues with subjects not compliant with the protocol rules and drank coffee the morning before the study day. The final DDI simulations were therefore conducted with administration of 100 mg caffeine 24 hours prior study protocol.</w:t>
      </w:r>
    </w:p>
    <w:bookmarkEnd w:id="26"/>
    <w:bookmarkStart w:id="27" w:name="tizanidine---fluvoxamine-ddi"/>
    <w:p>
      <w:pPr>
        <w:pStyle w:val="Heading3"/>
      </w:pPr>
      <w:r>
        <w:t xml:space="preserve">Tizanidine - Fluvoxamine DDI</w:t>
      </w:r>
      <w:bookmarkStart w:id="tizanidine-fluvoxamine-ddi" w:name="tizanidine-fluvoxamine-ddi"/>
      <w:bookmarkEnd w:id="tizanidine-fluvoxamine-ddi"/>
    </w:p>
    <w:p>
      <w:pPr>
        <w:pStyle w:val="FirstParagraph"/>
      </w:pPr>
      <w:r>
        <w:t xml:space="preserve">The tizanidine-fluvoxamine interaction was evaluated using clinical DDI studies listed in</w:t>
      </w:r>
      <w:r>
        <w:t xml:space="preserve"> </w:t>
      </w:r>
      <w:hyperlink w:anchor="table-4">
        <w:r>
          <w:rPr>
            <w:rStyle w:val="Hyperlink"/>
          </w:rPr>
          <w:t xml:space="preserve">Table 4</w:t>
        </w:r>
      </w:hyperlink>
      <w:r>
        <w:t xml:space="preserve">.</w:t>
      </w:r>
    </w:p>
    <w:tbl>
      <w:tblPr>
        <w:tblStyle w:val="Table"/>
        <w:tblW w:type="pct" w:w="5000"/>
        <w:tblLook w:firstRow="1" w:lastRow="0" w:firstColumn="0" w:lastColumn="0" w:noHBand="0" w:noVBand="0" w:val="0020"/>
        <w:jc w:val="start"/>
      </w:tblPr>
      <w:tblGrid>
        <w:gridCol w:w="1856"/>
        <w:gridCol w:w="556"/>
        <w:gridCol w:w="2475"/>
        <w:gridCol w:w="495"/>
        <w:gridCol w:w="556"/>
        <w:gridCol w:w="680"/>
        <w:gridCol w:w="433"/>
        <w:gridCol w:w="309"/>
        <w:gridCol w:w="556"/>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 /</w:t>
            </w:r>
            <w:r>
              <w:t xml:space="preserve"> </w:t>
            </w:r>
            <w:r>
              <w:rPr>
                <w:bCs/>
                <w:b/>
              </w:rPr>
              <w:t xml:space="preserve">Schedule *</w:t>
            </w:r>
          </w:p>
        </w:tc>
        <w:tc>
          <w:tcPr/>
          <w:p>
            <w:pPr>
              <w:pStyle w:val="Compact"/>
              <w:jc w:val="left"/>
            </w:pPr>
            <w:r>
              <w:rPr>
                <w:bCs/>
                <w:b/>
              </w:rPr>
              <w:t xml:space="preserve">Pop.</w:t>
            </w:r>
          </w:p>
        </w:tc>
        <w:tc>
          <w:tcPr/>
          <w:p>
            <w:pPr>
              <w:pStyle w:val="Compact"/>
              <w:jc w:val="left"/>
            </w:pPr>
            <w:r>
              <w:t xml:space="preserve">Age [yrs]</w:t>
            </w:r>
          </w:p>
        </w:tc>
        <w:tc>
          <w:tcPr/>
          <w:p>
            <w:pPr>
              <w:pStyle w:val="Compact"/>
              <w:jc w:val="left"/>
            </w:pPr>
            <w:r>
              <w:t xml:space="preserve">Weight [kg]</w:t>
            </w:r>
          </w:p>
        </w:tc>
        <w:tc>
          <w:tcPr/>
          <w:p>
            <w:pPr>
              <w:pStyle w:val="Compact"/>
              <w:jc w:val="left"/>
            </w:pPr>
            <w:r>
              <w:rPr>
                <w:bCs/>
                <w:b/>
              </w:rPr>
              <w:t xml:space="preserve">Sex</w:t>
            </w:r>
          </w:p>
        </w:tc>
        <w:tc>
          <w:tcPr/>
          <w:p>
            <w:pPr>
              <w:pStyle w:val="Compact"/>
              <w:jc w:val="left"/>
            </w:pPr>
            <w:r>
              <w:rPr>
                <w:bCs/>
                <w:b/>
              </w:rPr>
              <w:t xml:space="preserve">N</w:t>
            </w:r>
          </w:p>
        </w:tc>
        <w:tc>
          <w:tcPr/>
          <w:p>
            <w:pPr>
              <w:pStyle w:val="Compact"/>
              <w:jc w:val="left"/>
            </w:pPr>
            <w:r>
              <w:rPr>
                <w:bCs/>
                <w:b/>
              </w:rPr>
              <w:t xml:space="preserve">Form.</w:t>
            </w:r>
          </w:p>
        </w:tc>
      </w:tr>
      <w:tr>
        <w:tc>
          <w:tcPr/>
          <w:p>
            <w:pPr>
              <w:pStyle w:val="Compact"/>
              <w:jc w:val="left"/>
            </w:pPr>
            <w:hyperlink w:anchor="Xa559bd5247f9128e74e6edcc17de37648e8cde6">
              <w:r>
                <w:rPr>
                  <w:rStyle w:val="Hyperlink"/>
                </w:rPr>
                <w:t xml:space="preserve">Granfors 2004</w:t>
              </w:r>
            </w:hyperlink>
          </w:p>
        </w:tc>
        <w:tc>
          <w:tcPr/>
          <w:p>
            <w:pPr>
              <w:pStyle w:val="Compact"/>
              <w:jc w:val="left"/>
            </w:pPr>
            <w:r>
              <w:t xml:space="preserve">p.o.</w:t>
            </w:r>
          </w:p>
        </w:tc>
        <w:tc>
          <w:tcPr/>
          <w:p>
            <w:pPr>
              <w:pStyle w:val="Compact"/>
              <w:jc w:val="left"/>
            </w:pPr>
            <w:r>
              <w:t xml:space="preserve">4 mg tizanidine,</w:t>
            </w:r>
            <w:r>
              <w:t xml:space="preserve">100 mg fluvoxamine</w:t>
            </w:r>
          </w:p>
        </w:tc>
        <w:tc>
          <w:tcPr/>
          <w:p>
            <w:pPr>
              <w:pStyle w:val="Compact"/>
              <w:jc w:val="left"/>
            </w:pPr>
            <w:r>
              <w:t xml:space="preserve">HV</w:t>
            </w:r>
          </w:p>
        </w:tc>
        <w:tc>
          <w:tcPr/>
          <w:p>
            <w:pPr>
              <w:pStyle w:val="Compact"/>
              <w:jc w:val="left"/>
            </w:pPr>
            <w:r>
              <w:t xml:space="preserve">21-31</w:t>
            </w:r>
          </w:p>
        </w:tc>
        <w:tc>
          <w:tcPr/>
          <w:p>
            <w:pPr>
              <w:pStyle w:val="Compact"/>
              <w:jc w:val="left"/>
            </w:pPr>
            <w:r>
              <w:t xml:space="preserve">65-83</w:t>
            </w:r>
          </w:p>
        </w:tc>
        <w:tc>
          <w:tcPr/>
          <w:p>
            <w:pPr>
              <w:pStyle w:val="Compact"/>
              <w:jc w:val="left"/>
            </w:pPr>
            <w:r>
              <w:t xml:space="preserve">m</w:t>
            </w:r>
          </w:p>
        </w:tc>
        <w:tc>
          <w:tcPr/>
          <w:p>
            <w:pPr>
              <w:pStyle w:val="Compact"/>
              <w:jc w:val="left"/>
            </w:pPr>
            <w:r>
              <w:t xml:space="preserve">10</w:t>
            </w:r>
          </w:p>
        </w:tc>
        <w:tc>
          <w:tcPr/>
          <w:p>
            <w:pPr>
              <w:pStyle w:val="Compact"/>
              <w:jc w:val="left"/>
            </w:pPr>
            <w:r>
              <w:t xml:space="preserve">Tablet</w:t>
            </w:r>
          </w:p>
        </w:tc>
      </w:tr>
    </w:tbl>
    <w:p>
      <w:pPr>
        <w:pStyle w:val="BodyText"/>
      </w:pPr>
      <w:r>
        <w:rPr>
          <w:bCs/>
          <w:b/>
        </w:rPr>
        <w:t xml:space="preserve">Table 4:</w:t>
      </w:r>
      <w:r>
        <w:t xml:space="preserve"> </w:t>
      </w:r>
      <w:r>
        <w:t xml:space="preserve">Literature sources of clinical concentration data of tizanidine used for DDI prediction qualification with fluvoxamine.</w:t>
      </w:r>
      <w:r>
        <w:t xml:space="preserve"> </w:t>
      </w:r>
      <w:r>
        <w:rPr>
          <w:iCs/>
          <w:i/>
        </w:rPr>
        <w:t xml:space="preserve">*:single dose</w:t>
      </w:r>
      <w:bookmarkStart w:id="table-4" w:name="table-4"/>
      <w:bookmarkEnd w:id="table-4"/>
    </w:p>
    <w:p>
      <w:pPr>
        <w:pStyle w:val="BodyText"/>
      </w:pPr>
      <w:r>
        <w:t xml:space="preserve">In the clinical study reported by</w:t>
      </w:r>
      <w:r>
        <w:t xml:space="preserve"> </w:t>
      </w:r>
      <w:hyperlink w:anchor="Xa559bd5247f9128e74e6edcc17de37648e8cde6">
        <w:r>
          <w:rPr>
            <w:rStyle w:val="Hyperlink"/>
          </w:rPr>
          <w:t xml:space="preserve">Granfors 2004</w:t>
        </w:r>
      </w:hyperlink>
      <w:r>
        <w:t xml:space="preserve">, a single oral dose of 4 mg tizanidine was given after treatment with fluvoxamine (100mg fluvoxamine-maleate ~73.3 mg free base, q.d. for 4 days).</w:t>
      </w:r>
    </w:p>
    <w:p>
      <w:pPr>
        <w:pStyle w:val="BodyText"/>
      </w:pPr>
      <w:r>
        <w:t xml:space="preserve">Initially, the Ki value for the inhibition of CYP1A2 by fluvoxamine reported by</w:t>
      </w:r>
      <w:r>
        <w:t xml:space="preserve"> </w:t>
      </w:r>
      <w:hyperlink w:anchor="Xa559bd5247f9128e74e6edcc17de37648e8cde6">
        <w:r>
          <w:rPr>
            <w:rStyle w:val="Hyperlink"/>
          </w:rPr>
          <w:t xml:space="preserve">Iga 2016</w:t>
        </w:r>
      </w:hyperlink>
      <w:r>
        <w:t xml:space="preserve"> </w:t>
      </w:r>
      <w:r>
        <w:t xml:space="preserve">was used. While the predicted Cmax ratio matched closely the observed value, the AUC ratio was underpredicted by a factor of 2.1. Since the predictions of the tizanidine profiles without co-administration of fluvoxamine matched the observations very well, it was concluded that the most plausible reason for the under prediction was the value of Ki, as the fraction metabolized via CYP1A2 was already 99%. Hence Ki was optimized using the data from</w:t>
      </w:r>
      <w:r>
        <w:t xml:space="preserve"> </w:t>
      </w:r>
      <w:hyperlink w:anchor="Xa559bd5247f9128e74e6edcc17de37648e8cde6">
        <w:r>
          <w:rPr>
            <w:rStyle w:val="Hyperlink"/>
          </w:rPr>
          <w:t xml:space="preserve">Granfors 2004</w:t>
        </w:r>
      </w:hyperlink>
      <w:r>
        <w:t xml:space="preserve">. A Ki value of 0.8697 +/- 0.1935 nmol/L was estimated, which is still in line with the Ki values derived for other CYP1A2 substrates.</w:t>
      </w:r>
    </w:p>
    <w:bookmarkEnd w:id="27"/>
    <w:bookmarkStart w:id="28" w:name="tizanidine---mexiletine-ddi"/>
    <w:p>
      <w:pPr>
        <w:pStyle w:val="Heading3"/>
      </w:pPr>
      <w:r>
        <w:t xml:space="preserve">Tizanidine - Mexiletine DDI</w:t>
      </w:r>
      <w:bookmarkStart w:id="tizanidine-mexiletine-ddi" w:name="tizanidine-mexiletine-ddi"/>
      <w:bookmarkEnd w:id="tizanidine-mexiletine-ddi"/>
    </w:p>
    <w:p>
      <w:pPr>
        <w:pStyle w:val="FirstParagraph"/>
      </w:pPr>
      <w:r>
        <w:t xml:space="preserve">The tizanidine-mexiletine interaction was evaluated using clinical DDI studies listed in</w:t>
      </w:r>
      <w:r>
        <w:t xml:space="preserve"> </w:t>
      </w:r>
      <w:hyperlink w:anchor="table-5">
        <w:r>
          <w:rPr>
            <w:rStyle w:val="Hyperlink"/>
          </w:rPr>
          <w:t xml:space="preserve">Table 5</w:t>
        </w:r>
      </w:hyperlink>
      <w:r>
        <w:t xml:space="preserve">.</w:t>
      </w:r>
    </w:p>
    <w:tbl>
      <w:tblPr>
        <w:tblStyle w:val="Table"/>
        <w:tblW w:type="pct" w:w="5000"/>
        <w:tblLook w:firstRow="1" w:lastRow="0" w:firstColumn="0" w:lastColumn="0" w:noHBand="0" w:noVBand="0" w:val="0020"/>
        <w:jc w:val="start"/>
      </w:tblPr>
      <w:tblGrid>
        <w:gridCol w:w="1906"/>
        <w:gridCol w:w="660"/>
        <w:gridCol w:w="3226"/>
        <w:gridCol w:w="586"/>
        <w:gridCol w:w="513"/>
        <w:gridCol w:w="366"/>
        <w:gridCol w:w="660"/>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 /</w:t>
            </w:r>
            <w:r>
              <w:t xml:space="preserve"> </w:t>
            </w:r>
            <w:r>
              <w:rPr>
                <w:bCs/>
                <w:b/>
              </w:rPr>
              <w:t xml:space="preserve">Schedule *</w:t>
            </w:r>
          </w:p>
        </w:tc>
        <w:tc>
          <w:tcPr/>
          <w:p>
            <w:pPr>
              <w:pStyle w:val="Compact"/>
              <w:jc w:val="left"/>
            </w:pPr>
            <w:r>
              <w:rPr>
                <w:bCs/>
                <w:b/>
              </w:rPr>
              <w:t xml:space="preserve">Pop.</w:t>
            </w:r>
          </w:p>
        </w:tc>
        <w:tc>
          <w:tcPr/>
          <w:p>
            <w:pPr>
              <w:pStyle w:val="Compact"/>
              <w:jc w:val="left"/>
            </w:pPr>
            <w:r>
              <w:rPr>
                <w:bCs/>
                <w:b/>
              </w:rPr>
              <w:t xml:space="preserve">Sex</w:t>
            </w:r>
          </w:p>
        </w:tc>
        <w:tc>
          <w:tcPr/>
          <w:p>
            <w:pPr>
              <w:pStyle w:val="Compact"/>
              <w:jc w:val="left"/>
            </w:pPr>
            <w:r>
              <w:rPr>
                <w:bCs/>
                <w:b/>
              </w:rPr>
              <w:t xml:space="preserve">N</w:t>
            </w:r>
          </w:p>
        </w:tc>
        <w:tc>
          <w:tcPr/>
          <w:p>
            <w:pPr>
              <w:pStyle w:val="Compact"/>
              <w:jc w:val="left"/>
            </w:pPr>
            <w:r>
              <w:rPr>
                <w:bCs/>
                <w:b/>
              </w:rPr>
              <w:t xml:space="preserve">Form.</w:t>
            </w:r>
          </w:p>
        </w:tc>
      </w:tr>
      <w:tr>
        <w:tc>
          <w:tcPr/>
          <w:p>
            <w:pPr>
              <w:pStyle w:val="Compact"/>
              <w:jc w:val="left"/>
            </w:pPr>
            <w:hyperlink w:anchor="Xa559bd5247f9128e74e6edcc17de37648e8cde6">
              <w:r>
                <w:rPr>
                  <w:rStyle w:val="Hyperlink"/>
                </w:rPr>
                <w:t xml:space="preserve">Momo 2010</w:t>
              </w:r>
            </w:hyperlink>
          </w:p>
        </w:tc>
        <w:tc>
          <w:tcPr/>
          <w:p>
            <w:pPr>
              <w:pStyle w:val="Compact"/>
              <w:jc w:val="left"/>
            </w:pPr>
            <w:r>
              <w:t xml:space="preserve">p.o.</w:t>
            </w:r>
          </w:p>
        </w:tc>
        <w:tc>
          <w:tcPr/>
          <w:p>
            <w:pPr>
              <w:pStyle w:val="Compact"/>
              <w:jc w:val="left"/>
            </w:pPr>
            <w:r>
              <w:t xml:space="preserve">2 mg tizanidine,</w:t>
            </w:r>
            <w:r>
              <w:t xml:space="preserve">50 mg b.i.d mexiletine</w:t>
            </w:r>
          </w:p>
        </w:tc>
        <w:tc>
          <w:tcPr/>
          <w:p>
            <w:pPr>
              <w:pStyle w:val="Compact"/>
              <w:jc w:val="left"/>
            </w:pPr>
            <w:r>
              <w:t xml:space="preserve">HV</w:t>
            </w:r>
          </w:p>
        </w:tc>
        <w:tc>
          <w:tcPr/>
          <w:p>
            <w:pPr>
              <w:pStyle w:val="Compact"/>
              <w:jc w:val="left"/>
            </w:pPr>
            <w:r>
              <w:t xml:space="preserve">m</w:t>
            </w:r>
          </w:p>
        </w:tc>
        <w:tc>
          <w:tcPr/>
          <w:p>
            <w:pPr>
              <w:pStyle w:val="Compact"/>
              <w:jc w:val="left"/>
            </w:pPr>
            <w:r>
              <w:t xml:space="preserve">12</w:t>
            </w:r>
          </w:p>
        </w:tc>
        <w:tc>
          <w:tcPr/>
          <w:p>
            <w:pPr>
              <w:pStyle w:val="Compact"/>
              <w:jc w:val="left"/>
            </w:pPr>
            <w:r>
              <w:t xml:space="preserve">Tablet</w:t>
            </w:r>
          </w:p>
        </w:tc>
      </w:tr>
    </w:tbl>
    <w:p>
      <w:pPr>
        <w:pStyle w:val="BodyText"/>
      </w:pPr>
      <w:r>
        <w:rPr>
          <w:bCs/>
          <w:b/>
        </w:rPr>
        <w:t xml:space="preserve">Table 5:</w:t>
      </w:r>
      <w:r>
        <w:t xml:space="preserve"> </w:t>
      </w:r>
      <w:r>
        <w:t xml:space="preserve">Literature sources of clinical concentration data of tizanidine used for DDI prediction qualification with mexiletine.</w:t>
      </w:r>
      <w:bookmarkStart w:id="table-5" w:name="table-5"/>
      <w:bookmarkEnd w:id="table-5"/>
    </w:p>
    <w:p>
      <w:pPr>
        <w:pStyle w:val="BodyText"/>
      </w:pPr>
      <w:r>
        <w:t xml:space="preserve">A dynamical DDI simulation with mexiletine as CYP1A2 inhibitor and tizanidine as victim was conducted and compared to literature data from</w:t>
      </w:r>
      <w:r>
        <w:t xml:space="preserve"> </w:t>
      </w:r>
      <w:hyperlink w:anchor="Xa559bd5247f9128e74e6edcc17de37648e8cde6">
        <w:r>
          <w:rPr>
            <w:rStyle w:val="Hyperlink"/>
          </w:rPr>
          <w:t xml:space="preserve">Momo 2010</w:t>
        </w:r>
      </w:hyperlink>
      <w:r>
        <w:t xml:space="preserve">. The same Ki as for the caffeine interaction simulation was used (0.28 µM). The predefined</w:t>
      </w:r>
      <w:r>
        <w:t xml:space="preserve"> </w:t>
      </w:r>
      <w:r>
        <w:t xml:space="preserve">“</w:t>
      </w:r>
      <w:r>
        <w:t xml:space="preserve">Standard European Male for DDI</w:t>
      </w:r>
      <w:r>
        <w:t xml:space="preserve">”</w:t>
      </w:r>
      <w:r>
        <w:t xml:space="preserve"> </w:t>
      </w:r>
      <w:r>
        <w:t xml:space="preserve">individual (age = 30 y, weight = 73 kg, height = 176 cm, BMI = 23.57 kg/m2) was used.</w:t>
      </w:r>
    </w:p>
    <w:p>
      <w:pPr>
        <w:pStyle w:val="BodyText"/>
      </w:pPr>
      <w:r>
        <w:t xml:space="preserve">The pharmacokinetics of tizanidine was examined in an open-label study in 12 healthy participants after a single dose of tizanidine (2 mg) with and without mexiletine co-administration (50 mg, 3 times as a pretreatment for a day and 2 times on the study day).</w:t>
      </w:r>
    </w:p>
    <w:bookmarkEnd w:id="28"/>
    <w:bookmarkStart w:id="29" w:name="caffeine---mexiletine-ddi"/>
    <w:p>
      <w:pPr>
        <w:pStyle w:val="Heading3"/>
      </w:pPr>
      <w:r>
        <w:t xml:space="preserve">Caffeine - Mexiletine DDI</w:t>
      </w:r>
      <w:bookmarkStart w:id="caffeine-mexiletine-ddi" w:name="caffeine-mexiletine-ddi"/>
      <w:bookmarkEnd w:id="caffeine-mexiletine-ddi"/>
    </w:p>
    <w:p>
      <w:pPr>
        <w:pStyle w:val="FirstParagraph"/>
      </w:pPr>
      <w:r>
        <w:t xml:space="preserve">The caffeine-mexiletine interaction was evaluated using clinical DDI studies listed in</w:t>
      </w:r>
      <w:r>
        <w:t xml:space="preserve"> </w:t>
      </w:r>
      <w:hyperlink w:anchor="table-6">
        <w:r>
          <w:rPr>
            <w:rStyle w:val="Hyperlink"/>
          </w:rPr>
          <w:t xml:space="preserve">Table 6</w:t>
        </w:r>
      </w:hyperlink>
      <w:r>
        <w:t xml:space="preserve">.</w:t>
      </w:r>
    </w:p>
    <w:tbl>
      <w:tblPr>
        <w:tblStyle w:val="Table"/>
        <w:tblW w:type="pct" w:w="5000"/>
        <w:tblLook w:firstRow="1" w:lastRow="0" w:firstColumn="0" w:lastColumn="0" w:noHBand="0" w:noVBand="0" w:val="0020"/>
        <w:jc w:val="start"/>
      </w:tblPr>
      <w:tblGrid>
        <w:gridCol w:w="2671"/>
        <w:gridCol w:w="858"/>
        <w:gridCol w:w="3148"/>
        <w:gridCol w:w="763"/>
        <w:gridCol w:w="477"/>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 /</w:t>
            </w:r>
            <w:r>
              <w:t xml:space="preserve"> </w:t>
            </w:r>
            <w:r>
              <w:rPr>
                <w:bCs/>
                <w:b/>
              </w:rPr>
              <w:t xml:space="preserve">Schedule *</w:t>
            </w:r>
          </w:p>
        </w:tc>
        <w:tc>
          <w:tcPr/>
          <w:p>
            <w:pPr>
              <w:pStyle w:val="Compact"/>
              <w:jc w:val="left"/>
            </w:pPr>
            <w:r>
              <w:rPr>
                <w:bCs/>
                <w:b/>
              </w:rPr>
              <w:t xml:space="preserve">Pop.</w:t>
            </w:r>
          </w:p>
        </w:tc>
        <w:tc>
          <w:tcPr/>
          <w:p>
            <w:pPr>
              <w:pStyle w:val="Compact"/>
              <w:jc w:val="left"/>
            </w:pPr>
            <w:r>
              <w:rPr>
                <w:bCs/>
                <w:b/>
              </w:rPr>
              <w:t xml:space="preserve">N</w:t>
            </w:r>
          </w:p>
        </w:tc>
      </w:tr>
      <w:tr>
        <w:tc>
          <w:tcPr/>
          <w:p>
            <w:pPr>
              <w:pStyle w:val="Compact"/>
              <w:jc w:val="left"/>
            </w:pPr>
            <w:hyperlink w:anchor="Xa559bd5247f9128e74e6edcc17de37648e8cde6">
              <w:r>
                <w:rPr>
                  <w:rStyle w:val="Hyperlink"/>
                </w:rPr>
                <w:t xml:space="preserve">Joeres 1987</w:t>
              </w:r>
            </w:hyperlink>
          </w:p>
        </w:tc>
        <w:tc>
          <w:tcPr/>
          <w:p>
            <w:pPr>
              <w:pStyle w:val="Compact"/>
              <w:jc w:val="left"/>
            </w:pPr>
            <w:r>
              <w:t xml:space="preserve">p.o.</w:t>
            </w:r>
          </w:p>
        </w:tc>
        <w:tc>
          <w:tcPr/>
          <w:p>
            <w:pPr>
              <w:pStyle w:val="Compact"/>
              <w:jc w:val="left"/>
            </w:pPr>
            <w:r>
              <w:t xml:space="preserve">366 caffeine,</w:t>
            </w:r>
            <w:r>
              <w:t xml:space="preserve">200 mexiletine</w:t>
            </w:r>
          </w:p>
        </w:tc>
        <w:tc>
          <w:tcPr/>
          <w:p>
            <w:pPr>
              <w:pStyle w:val="Compact"/>
              <w:jc w:val="left"/>
            </w:pPr>
            <w:r>
              <w:t xml:space="preserve">HV</w:t>
            </w:r>
          </w:p>
        </w:tc>
        <w:tc>
          <w:tcPr/>
          <w:p>
            <w:pPr>
              <w:pStyle w:val="Compact"/>
              <w:jc w:val="left"/>
            </w:pPr>
            <w:r>
              <w:t xml:space="preserve">6</w:t>
            </w:r>
          </w:p>
        </w:tc>
      </w:tr>
    </w:tbl>
    <w:p>
      <w:pPr>
        <w:pStyle w:val="BodyText"/>
      </w:pPr>
      <w:r>
        <w:rPr>
          <w:bCs/>
          <w:b/>
        </w:rPr>
        <w:t xml:space="preserve">Table 6:</w:t>
      </w:r>
      <w:r>
        <w:t xml:space="preserve"> </w:t>
      </w:r>
      <w:r>
        <w:t xml:space="preserve">Literature sources of clinical concentration data of caffeine used for DDI prediction qualification with mexiletine.</w:t>
      </w:r>
      <w:bookmarkStart w:id="table-6" w:name="table-6"/>
      <w:bookmarkEnd w:id="table-6"/>
    </w:p>
    <w:p>
      <w:pPr>
        <w:pStyle w:val="BodyText"/>
      </w:pPr>
      <w:r>
        <w:t xml:space="preserve">A dynamical DDI simulation with mexiletine as CYP1A2 inhibitor and caffeine as victim was conducted and compared to literature data.</w:t>
      </w:r>
    </w:p>
    <w:p>
      <w:pPr>
        <w:pStyle w:val="BodyText"/>
      </w:pPr>
      <w:r>
        <w:t xml:space="preserve">Clinical observations of caffeine-mexiletine interaction were derived from</w:t>
      </w:r>
      <w:r>
        <w:t xml:space="preserve"> </w:t>
      </w:r>
      <w:hyperlink w:anchor="Xa559bd5247f9128e74e6edcc17de37648e8cde6">
        <w:r>
          <w:rPr>
            <w:rStyle w:val="Hyperlink"/>
          </w:rPr>
          <w:t xml:space="preserve">Joeres 1987</w:t>
        </w:r>
      </w:hyperlink>
      <w:r>
        <w:t xml:space="preserve"> </w:t>
      </w:r>
      <w:r>
        <w:t xml:space="preserve">where 6 healthy volunteers received 366 mg caffeine (400 mg caffeine monohydrate) after an overnight fast, together with 200 mg mexiletine orally. One week later caffeine was administered alone.</w:t>
      </w:r>
    </w:p>
    <w:p>
      <w:pPr>
        <w:pStyle w:val="BodyText"/>
      </w:pPr>
      <w:r>
        <w:t xml:space="preserve">The in-built caffeine template model included in PK-Sim was used for caffeine predictions.</w:t>
      </w:r>
    </w:p>
    <w:p>
      <w:pPr>
        <w:pStyle w:val="BodyText"/>
      </w:pPr>
      <w:r>
        <w:t xml:space="preserve">Competitive inhibition was assumed on CYP1A2 enzyme between caffeine (substrate) and mexiletine (inhibitor) with an inhibitory constant of 0.28 µM. No reported values were found for mexiletine Ki on CYP1A2 and caffeine as substrate, so the inhibitory constant for methoxyresofurin (</w:t>
      </w:r>
      <w:hyperlink w:anchor="Xa559bd5247f9128e74e6edcc17de37648e8cde6">
        <w:r>
          <w:rPr>
            <w:rStyle w:val="Hyperlink"/>
          </w:rPr>
          <w:t xml:space="preserve">Ko 1997</w:t>
        </w:r>
      </w:hyperlink>
      <w:r>
        <w:t xml:space="preserve">) was used [calculated in vivo, unbound Ki for methoxyresofurin].</w:t>
      </w:r>
    </w:p>
    <w:bookmarkEnd w:id="29"/>
    <w:bookmarkStart w:id="30" w:name="mexiletine---fluvoxamine-ddi"/>
    <w:p>
      <w:pPr>
        <w:pStyle w:val="Heading3"/>
      </w:pPr>
      <w:r>
        <w:t xml:space="preserve">Mexiletine - Fluvoxamine DDI</w:t>
      </w:r>
      <w:bookmarkStart w:id="mexiletine-fluvoxamine-ddi" w:name="mexiletine-fluvoxamine-ddi"/>
      <w:bookmarkEnd w:id="mexiletine-fluvoxamine-ddi"/>
    </w:p>
    <w:p>
      <w:pPr>
        <w:pStyle w:val="FirstParagraph"/>
      </w:pPr>
      <w:r>
        <w:t xml:space="preserve">The mexiletine-fluvoxamine interaction was evaluated using clinical DDI studies listed in</w:t>
      </w:r>
      <w:r>
        <w:t xml:space="preserve"> </w:t>
      </w:r>
      <w:hyperlink w:anchor="table-7">
        <w:r>
          <w:rPr>
            <w:rStyle w:val="Hyperlink"/>
          </w:rPr>
          <w:t xml:space="preserve">Table 7</w:t>
        </w:r>
      </w:hyperlink>
      <w:r>
        <w:t xml:space="preserve">.</w:t>
      </w:r>
    </w:p>
    <w:tbl>
      <w:tblPr>
        <w:tblStyle w:val="Table"/>
        <w:tblW w:type="pct" w:w="5000"/>
        <w:tblLook w:firstRow="1" w:lastRow="0" w:firstColumn="0" w:lastColumn="0" w:noHBand="0" w:noVBand="0" w:val="0020"/>
        <w:jc w:val="start"/>
      </w:tblPr>
      <w:tblGrid>
        <w:gridCol w:w="2066"/>
        <w:gridCol w:w="619"/>
        <w:gridCol w:w="3030"/>
        <w:gridCol w:w="757"/>
        <w:gridCol w:w="482"/>
        <w:gridCol w:w="344"/>
        <w:gridCol w:w="619"/>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 /</w:t>
            </w:r>
            <w:r>
              <w:t xml:space="preserve"> </w:t>
            </w:r>
            <w:r>
              <w:rPr>
                <w:bCs/>
                <w:b/>
              </w:rPr>
              <w:t xml:space="preserve">Schedule *</w:t>
            </w:r>
          </w:p>
        </w:tc>
        <w:tc>
          <w:tcPr/>
          <w:p>
            <w:pPr>
              <w:pStyle w:val="Compact"/>
              <w:jc w:val="left"/>
            </w:pPr>
            <w:r>
              <w:rPr>
                <w:bCs/>
                <w:b/>
              </w:rPr>
              <w:t xml:space="preserve">Pop.</w:t>
            </w:r>
          </w:p>
        </w:tc>
        <w:tc>
          <w:tcPr/>
          <w:p>
            <w:pPr>
              <w:pStyle w:val="Compact"/>
              <w:jc w:val="left"/>
            </w:pPr>
            <w:r>
              <w:rPr>
                <w:bCs/>
                <w:b/>
              </w:rPr>
              <w:t xml:space="preserve">Sex</w:t>
            </w:r>
          </w:p>
        </w:tc>
        <w:tc>
          <w:tcPr/>
          <w:p>
            <w:pPr>
              <w:pStyle w:val="Compact"/>
              <w:jc w:val="left"/>
            </w:pPr>
            <w:r>
              <w:rPr>
                <w:bCs/>
                <w:b/>
              </w:rPr>
              <w:t xml:space="preserve">N</w:t>
            </w:r>
          </w:p>
        </w:tc>
        <w:tc>
          <w:tcPr/>
          <w:p>
            <w:pPr>
              <w:pStyle w:val="Compact"/>
              <w:jc w:val="left"/>
            </w:pPr>
            <w:r>
              <w:rPr>
                <w:bCs/>
                <w:b/>
              </w:rPr>
              <w:t xml:space="preserve">Form.</w:t>
            </w:r>
          </w:p>
        </w:tc>
      </w:tr>
      <w:tr>
        <w:tc>
          <w:tcPr/>
          <w:p>
            <w:pPr>
              <w:pStyle w:val="Compact"/>
              <w:jc w:val="left"/>
            </w:pPr>
            <w:hyperlink w:anchor="Xa559bd5247f9128e74e6edcc17de37648e8cde6">
              <w:r>
                <w:rPr>
                  <w:rStyle w:val="Hyperlink"/>
                </w:rPr>
                <w:t xml:space="preserve">Kusumoto 2001</w:t>
              </w:r>
            </w:hyperlink>
          </w:p>
        </w:tc>
        <w:tc>
          <w:tcPr/>
          <w:p>
            <w:pPr>
              <w:pStyle w:val="Compact"/>
              <w:jc w:val="left"/>
            </w:pPr>
            <w:r>
              <w:t xml:space="preserve">p.o.</w:t>
            </w:r>
          </w:p>
        </w:tc>
        <w:tc>
          <w:tcPr/>
          <w:p>
            <w:pPr>
              <w:pStyle w:val="Compact"/>
              <w:jc w:val="left"/>
            </w:pPr>
            <w:r>
              <w:t xml:space="preserve">166.62 mexiletine</w:t>
            </w:r>
            <w:r>
              <w:t xml:space="preserve">50 b.i.d. fluvoxamine</w:t>
            </w:r>
          </w:p>
        </w:tc>
        <w:tc>
          <w:tcPr/>
          <w:p>
            <w:pPr>
              <w:pStyle w:val="Compact"/>
              <w:jc w:val="left"/>
            </w:pPr>
            <w:r>
              <w:t xml:space="preserve">HV japanese</w:t>
            </w:r>
          </w:p>
        </w:tc>
        <w:tc>
          <w:tcPr/>
          <w:p>
            <w:pPr>
              <w:pStyle w:val="Compact"/>
              <w:jc w:val="left"/>
            </w:pPr>
            <w:r>
              <w:t xml:space="preserve">m</w:t>
            </w:r>
          </w:p>
        </w:tc>
        <w:tc>
          <w:tcPr/>
          <w:p>
            <w:pPr>
              <w:pStyle w:val="Compact"/>
              <w:jc w:val="left"/>
            </w:pPr>
            <w:r>
              <w:t xml:space="preserve">6</w:t>
            </w:r>
          </w:p>
        </w:tc>
        <w:tc>
          <w:tcPr/>
          <w:p>
            <w:pPr>
              <w:pStyle w:val="Compact"/>
              <w:jc w:val="left"/>
            </w:pPr>
            <w:r>
              <w:t xml:space="preserve">-</w:t>
            </w:r>
          </w:p>
        </w:tc>
      </w:tr>
    </w:tbl>
    <w:p>
      <w:pPr>
        <w:pStyle w:val="BodyText"/>
      </w:pPr>
      <w:r>
        <w:rPr>
          <w:bCs/>
          <w:b/>
        </w:rPr>
        <w:t xml:space="preserve">Table 7:</w:t>
      </w:r>
      <w:r>
        <w:t xml:space="preserve"> </w:t>
      </w:r>
      <w:r>
        <w:t xml:space="preserve">Literature sources of clinical concentration data of mexiletine used for DDI prediction qualification with fluvoxamine.</w:t>
      </w:r>
      <w:r>
        <w:t xml:space="preserve"> </w:t>
      </w:r>
      <w:r>
        <w:rPr>
          <w:iCs/>
          <w:i/>
        </w:rPr>
        <w:t xml:space="preserve">*:single dose</w:t>
      </w:r>
      <w:bookmarkStart w:id="table-7" w:name="table-7"/>
      <w:bookmarkEnd w:id="table-7"/>
    </w:p>
    <w:p>
      <w:pPr>
        <w:pStyle w:val="BodyText"/>
      </w:pPr>
      <w:r>
        <w:t xml:space="preserve">A dynamical DDI simulation with fluvoxamine as CYP1A2 inhibitor and mexiletine as victim was conducted and compared to literature data (</w:t>
      </w:r>
      <w:hyperlink w:anchor="Xa559bd5247f9128e74e6edcc17de37648e8cde6">
        <w:r>
          <w:rPr>
            <w:rStyle w:val="Hyperlink"/>
          </w:rPr>
          <w:t xml:space="preserve">Kusumoto 2001</w:t>
        </w:r>
      </w:hyperlink>
      <w:r>
        <w:t xml:space="preserve">). A typical Japanese subject (age = 30 y, weight = 61.87 kg, height = 168.99 cm, BMI = 21.67 kg/m2) was created in PK-Sim from predefined database</w:t>
      </w:r>
      <w:r>
        <w:t xml:space="preserve"> </w:t>
      </w:r>
      <w:r>
        <w:t xml:space="preserve">“</w:t>
      </w:r>
      <w:r>
        <w:t xml:space="preserve">Japanese (2015)</w:t>
      </w:r>
      <w:r>
        <w:t xml:space="preserve">”</w:t>
      </w:r>
      <w:r>
        <w:t xml:space="preserve"> </w:t>
      </w:r>
      <w:r>
        <w:t xml:space="preserve">by adding CYP2D6 and CYP1A2 expressions from PK-Sim RT PCR database.</w:t>
      </w:r>
    </w:p>
    <w:p>
      <w:pPr>
        <w:pStyle w:val="BodyText"/>
      </w:pPr>
      <w:r>
        <w:t xml:space="preserve">A randomized crossover design with two phases was used. Each subject received an oral dose of mexiletine (200 mg) or fluvoxamine (50 mg twice a day) for 7 days, and on the eighth day they received mexiletine and fluvoxamine concomitantly.</w:t>
      </w:r>
    </w:p>
    <w:bookmarkEnd w:id="30"/>
    <w:bookmarkEnd w:id="31"/>
    <w:bookmarkEnd w:id="32"/>
    <w:bookmarkStart w:id="128" w:name="X20b5f89807da4b2f7737540a9f10a3dd60ba70c"/>
    <w:p>
      <w:pPr>
        <w:pStyle w:val="Heading1"/>
      </w:pPr>
      <w:r>
        <w:t xml:space="preserve">Qualification of Use Case CYP1A2-mediated DDI</w:t>
      </w:r>
      <w:bookmarkStart w:id="qualification-cyp1a2-ddi" w:name="qualification-cyp1a2-ddi"/>
      <w:bookmarkEnd w:id="qualification-cyp1a2-ddi"/>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7"/>
        </w:numPr>
      </w:pPr>
      <w:r>
        <w:t xml:space="preserve">predicted (</w:t>
      </w:r>
      <w:r>
        <w:rPr>
          <w:iCs/>
          <w:i/>
        </w:rPr>
        <w:t xml:space="preserve">Pred</w:t>
      </w:r>
      <w:r>
        <w:t xml:space="preserve">) vs. observed (</w:t>
      </w:r>
      <w:r>
        <w:rPr>
          <w:iCs/>
          <w:i/>
        </w:rPr>
        <w:t xml:space="preserve">Obs</w:t>
      </w:r>
      <w:r>
        <w:t xml:space="preserve">) plots</w:t>
      </w:r>
    </w:p>
    <w:p>
      <w:pPr>
        <w:numPr>
          <w:ilvl w:val="0"/>
          <w:numId w:val="1007"/>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7"/>
        </w:numPr>
      </w:pPr>
      <w:r>
        <w:t xml:space="preserve">geometric mean fold error (GMFE):</w:t>
      </w:r>
    </w:p>
    <w:p>
      <w:pPr>
        <w:numPr>
          <w:ilvl w:val="0"/>
          <w:numId w:val="1000"/>
        </w:numPr>
        <w:pStyle w:val="CaptionedFigure"/>
      </w:pPr>
      <w:r>
        <w:drawing>
          <wp:inline>
            <wp:extent cx="1562100" cy="609600"/>
            <wp:effectExtent b="0" l="0" r="0" t="0"/>
            <wp:docPr descr="GMFE equation" title="" id="34" name="Picture"/>
            <a:graphic>
              <a:graphicData uri="http://schemas.openxmlformats.org/drawingml/2006/picture">
                <pic:pic>
                  <pic:nvPicPr>
                    <pic:cNvPr descr="images/GFME_equation.PNG" id="35" name="Picture"/>
                    <pic:cNvPicPr>
                      <a:picLocks noChangeArrowheads="1" noChangeAspect="1"/>
                    </pic:cNvPicPr>
                  </pic:nvPicPr>
                  <pic:blipFill>
                    <a:blip r:embed="rId33"/>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7"/>
        </w:numPr>
      </w:pPr>
      <w:r>
        <w:t xml:space="preserve">number of AUCR and CMAXR falling within 2-fold error range and within the limits as suggested by</w:t>
      </w:r>
      <w:r>
        <w:t xml:space="preserve"> </w:t>
      </w:r>
      <w:hyperlink w:anchor="Xa559bd5247f9128e74e6edcc17de37648e8cde6">
        <w:r>
          <w:rPr>
            <w:rStyle w:val="Hyperlink"/>
          </w:rPr>
          <w:t xml:space="preserve">Guest et al. 2011</w:t>
        </w:r>
      </w:hyperlink>
    </w:p>
    <w:p>
      <w:pPr>
        <w:numPr>
          <w:ilvl w:val="0"/>
          <w:numId w:val="1007"/>
        </w:numPr>
      </w:pPr>
      <w:r>
        <w:t xml:space="preserve">detailed table of results for each study</w:t>
      </w:r>
    </w:p>
    <w:p>
      <w:pPr>
        <w:pStyle w:val="FirstParagraph"/>
      </w:pPr>
      <w:r>
        <w:t xml:space="preserve">In the plots,</w:t>
      </w:r>
    </w:p>
    <w:p>
      <w:pPr>
        <w:numPr>
          <w:ilvl w:val="0"/>
          <w:numId w:val="1008"/>
        </w:numPr>
      </w:pPr>
      <w:r>
        <w:t xml:space="preserve">the dotted lines denote 0.50–2.00 (2-fold) criterion,</w:t>
      </w:r>
    </w:p>
    <w:p>
      <w:pPr>
        <w:numPr>
          <w:ilvl w:val="0"/>
          <w:numId w:val="1008"/>
        </w:numPr>
      </w:pPr>
      <w:r>
        <w:t xml:space="preserve">the solid lines denote the limits as suggested by</w:t>
      </w:r>
      <w:r>
        <w:t xml:space="preserve"> </w:t>
      </w:r>
      <w:hyperlink w:anchor="Xa559bd5247f9128e74e6edcc17de37648e8cde6">
        <w:r>
          <w:rPr>
            <w:rStyle w:val="Hyperlink"/>
          </w:rPr>
          <w:t xml:space="preserve">Guest et al. 2011</w:t>
        </w:r>
      </w:hyperlink>
      <w:r>
        <w:t xml:space="preserve">,</w:t>
      </w:r>
    </w:p>
    <w:p>
      <w:pPr>
        <w:numPr>
          <w:ilvl w:val="0"/>
          <w:numId w:val="1008"/>
        </w:numPr>
      </w:pPr>
      <w:r>
        <w:t xml:space="preserve">the bold solid line denotes the unity line,</w:t>
      </w:r>
    </w:p>
    <w:p>
      <w:pPr>
        <w:numPr>
          <w:ilvl w:val="0"/>
          <w:numId w:val="1008"/>
        </w:numPr>
      </w:pPr>
      <w:r>
        <w:t xml:space="preserve">each color represents one combination of drugs</w:t>
      </w:r>
    </w:p>
    <w:p>
      <w:r>
        <w:pict>
          <v:rect style="width:0;height:1.5pt" o:hralign="center" o:hrstd="t" o:hr="t"/>
        </w:pict>
      </w:r>
    </w:p>
    <w:br w:type="page"/>
    <w:p>
      <w:pPr>
        <w:pStyle w:val="FirstParagraph"/>
      </w:pPr>
      <w:bookmarkStart w:id="figure-2-1" w:name="figure-2-1"/>
      <w:bookmarkEnd w:id="figure-2-1"/>
    </w:p>
    <w:p>
      <w:pPr>
        <w:pStyle w:val="BodyText"/>
      </w:pPr>
      <w:r>
        <w:drawing>
          <wp:inline>
            <wp:extent cx="5969000" cy="4575894"/>
            <wp:effectExtent b="0" l="0" r="0" t="0"/>
            <wp:docPr descr="" title="" id="37" name="Picture"/>
            <a:graphic>
              <a:graphicData uri="http://schemas.openxmlformats.org/drawingml/2006/picture">
                <pic:pic>
                  <pic:nvPicPr>
                    <pic:cNvPr descr="images/011_section_qualification-cyp1a2-ddi/DDIRatio_1_ddi_ratio_plot_AUC_predictedVsObserved.png" id="38" name="Picture"/>
                    <pic:cNvPicPr>
                      <a:picLocks noChangeArrowheads="1" noChangeAspect="1"/>
                    </pic:cNvPicPr>
                  </pic:nvPicPr>
                  <pic:blipFill>
                    <a:blip r:embed="rId36"/>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2-1: CYP1A2 DDI. Predicted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2" w:name="figure-2-2"/>
      <w:bookmarkEnd w:id="figure-2-2"/>
    </w:p>
    <w:p>
      <w:pPr>
        <w:pStyle w:val="BodyText"/>
      </w:pPr>
      <w:r>
        <w:drawing>
          <wp:inline>
            <wp:extent cx="5969000" cy="4575894"/>
            <wp:effectExtent b="0" l="0" r="0" t="0"/>
            <wp:docPr descr="" title="" id="40" name="Picture"/>
            <a:graphic>
              <a:graphicData uri="http://schemas.openxmlformats.org/drawingml/2006/picture">
                <pic:pic>
                  <pic:nvPicPr>
                    <pic:cNvPr descr="images/011_section_qualification-cyp1a2-ddi/DDIRatio_1_ddi_ratio_plot_AUC_residualsVsObserved.png" id="41" name="Picture"/>
                    <pic:cNvPicPr>
                      <a:picLocks noChangeArrowheads="1" noChangeAspect="1"/>
                    </pic:cNvPicPr>
                  </pic:nvPicPr>
                  <pic:blipFill>
                    <a:blip r:embed="rId39"/>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2-2: CYP1A2 DDI. Predicted/Observed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3" w:name="figure-2-3"/>
      <w:bookmarkEnd w:id="figure-2-3"/>
    </w:p>
    <w:p>
      <w:pPr>
        <w:pStyle w:val="BodyText"/>
      </w:pPr>
      <w:r>
        <w:drawing>
          <wp:inline>
            <wp:extent cx="5969000" cy="4575894"/>
            <wp:effectExtent b="0" l="0" r="0" t="0"/>
            <wp:docPr descr="" title="" id="43" name="Picture"/>
            <a:graphic>
              <a:graphicData uri="http://schemas.openxmlformats.org/drawingml/2006/picture">
                <pic:pic>
                  <pic:nvPicPr>
                    <pic:cNvPr descr="images/011_section_qualification-cyp1a2-ddi/DDIRatio_1_ddi_ratio_plot_CMAX_predictedVsObserved.png" id="44" name="Picture"/>
                    <pic:cNvPicPr>
                      <a:picLocks noChangeArrowheads="1" noChangeAspect="1"/>
                    </pic:cNvPicPr>
                  </pic:nvPicPr>
                  <pic:blipFill>
                    <a:blip r:embed="rId42"/>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2-3: CYP1A2 DDI. Predicted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4" w:name="figure-2-4"/>
      <w:bookmarkEnd w:id="figure-2-4"/>
    </w:p>
    <w:p>
      <w:pPr>
        <w:pStyle w:val="BodyText"/>
      </w:pPr>
      <w:r>
        <w:drawing>
          <wp:inline>
            <wp:extent cx="5969000" cy="4575894"/>
            <wp:effectExtent b="0" l="0" r="0" t="0"/>
            <wp:docPr descr="" title="" id="46" name="Picture"/>
            <a:graphic>
              <a:graphicData uri="http://schemas.openxmlformats.org/drawingml/2006/picture">
                <pic:pic>
                  <pic:nvPicPr>
                    <pic:cNvPr descr="images/011_section_qualification-cyp1a2-ddi/DDIRatio_1_ddi_ratio_plot_CMAX_residualsVsObserved.png" id="47" name="Picture"/>
                    <pic:cNvPicPr>
                      <a:picLocks noChangeArrowheads="1" noChangeAspect="1"/>
                    </pic:cNvPicPr>
                  </pic:nvPicPr>
                  <pic:blipFill>
                    <a:blip r:embed="rId45"/>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2-4: CYP1A2 DDI. Predicted/Observed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table-2-1" w:name="table-2-1"/>
      <w:bookmarkEnd w:id="table-2-1"/>
    </w:p>
    <w:p>
      <w:pPr>
        <w:pStyle w:val="BodyText"/>
      </w:pPr>
      <w:r>
        <w:rPr>
          <w:bCs/>
          <w:b/>
        </w:rPr>
        <w:t xml:space="preserve">Table 2-1: GMFE for CYP1A2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1.50</w:t>
            </w:r>
          </w:p>
        </w:tc>
      </w:tr>
      <w:tr>
        <w:tc>
          <w:tcPr/>
          <w:p>
            <w:pPr>
              <w:pStyle w:val="Compact"/>
              <w:jc w:val="left"/>
            </w:pPr>
            <w:r>
              <w:t xml:space="preserve">CMAX</w:t>
            </w:r>
          </w:p>
        </w:tc>
        <w:tc>
          <w:tcPr/>
          <w:p>
            <w:pPr>
              <w:pStyle w:val="Compact"/>
              <w:jc w:val="left"/>
            </w:pPr>
            <w:r>
              <w:t xml:space="preserve">1.22</w:t>
            </w:r>
          </w:p>
        </w:tc>
      </w:tr>
    </w:tbl>
    <w:p>
      <w:pPr>
        <w:pStyle w:val="BodyText"/>
      </w:pPr>
      <w:r>
        <w:t xml:space="preserve"> </w:t>
      </w:r>
    </w:p>
    <w:br w:type="page"/>
    <w:p>
      <w:pPr>
        <w:pStyle w:val="BodyText"/>
      </w:pPr>
      <w:bookmarkStart w:id="table-2-2" w:name="table-2-2"/>
      <w:bookmarkEnd w:id="table-2-2"/>
    </w:p>
    <w:p>
      <w:pPr>
        <w:pStyle w:val="BodyText"/>
      </w:pPr>
      <w:r>
        <w:rPr>
          <w:bCs/>
          <w:b/>
        </w:rPr>
        <w:t xml:space="preserve">Table 2-2: Summary table for CYP1A2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w:t>
            </w:r>
          </w:p>
        </w:tc>
        <w:tc>
          <w:tcPr/>
          <w:p>
            <w:pPr>
              <w:pStyle w:val="Compact"/>
              <w:jc w:val="left"/>
            </w:pPr>
            <w:r>
              <w:t xml:space="preserve">75.00</w:t>
            </w:r>
          </w:p>
        </w:tc>
      </w:tr>
      <w:tr>
        <w:tc>
          <w:tcPr/>
          <w:p>
            <w:pPr>
              <w:pStyle w:val="Compact"/>
              <w:jc w:val="left"/>
            </w:pPr>
            <w:r>
              <w:t xml:space="preserve">Points within 2 fold</w:t>
            </w:r>
          </w:p>
        </w:tc>
        <w:tc>
          <w:tcPr/>
          <w:p>
            <w:pPr>
              <w:pStyle w:val="Compact"/>
              <w:jc w:val="left"/>
            </w:pPr>
            <w:r>
              <w:t xml:space="preserve">7</w:t>
            </w:r>
          </w:p>
        </w:tc>
        <w:tc>
          <w:tcPr/>
          <w:p>
            <w:pPr>
              <w:pStyle w:val="Compact"/>
              <w:jc w:val="left"/>
            </w:pPr>
            <w:r>
              <w:t xml:space="preserve">87.50</w:t>
            </w:r>
          </w:p>
        </w:tc>
      </w:tr>
    </w:tbl>
    <w:p>
      <w:pPr>
        <w:pStyle w:val="BodyText"/>
      </w:pPr>
      <w:r>
        <w:t xml:space="preserve"> </w:t>
      </w:r>
    </w:p>
    <w:br w:type="page"/>
    <w:p>
      <w:pPr>
        <w:pStyle w:val="BodyText"/>
      </w:pPr>
      <w:bookmarkStart w:id="table-2-3" w:name="table-2-3"/>
      <w:bookmarkEnd w:id="table-2-3"/>
    </w:p>
    <w:p>
      <w:pPr>
        <w:pStyle w:val="BodyText"/>
      </w:pPr>
      <w:r>
        <w:rPr>
          <w:bCs/>
          <w:b/>
        </w:rPr>
        <w:t xml:space="preserve">Table 2-3: Summary table for CYP1A2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w:t>
            </w:r>
          </w:p>
        </w:tc>
        <w:tc>
          <w:tcPr/>
          <w:p>
            <w:pPr>
              <w:pStyle w:val="Compact"/>
              <w:jc w:val="left"/>
            </w:pPr>
            <w:r>
              <w:t xml:space="preserve">87.50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100.00</w:t>
            </w:r>
          </w:p>
        </w:tc>
      </w:tr>
    </w:tbl>
    <w:p>
      <w:pPr>
        <w:pStyle w:val="BodyText"/>
      </w:pPr>
      <w:r>
        <w:t xml:space="preserve"> </w:t>
      </w:r>
    </w:p>
    <w:br w:type="page"/>
    <w:p>
      <w:pPr>
        <w:pStyle w:val="BodyText"/>
      </w:pPr>
      <w:bookmarkStart w:id="table-2-4" w:name="table-2-4"/>
      <w:bookmarkEnd w:id="table-2-4"/>
    </w:p>
    <w:p>
      <w:pPr>
        <w:pStyle w:val="BodyText"/>
      </w:pPr>
      <w:r>
        <w:rPr>
          <w:bCs/>
          <w:b/>
        </w:rPr>
        <w:t xml:space="preserve">Table 2-4: Summary table for CYP1A2 DDI</w:t>
      </w:r>
    </w:p>
    <w:tbl>
      <w:tblPr>
        <w:tblStyle w:val="Table"/>
        <w:tblW w:type="pct" w:w="5000"/>
        <w:tblLook w:firstRow="1" w:lastRow="0" w:firstColumn="0" w:lastColumn="0" w:noHBand="0" w:noVBand="0" w:val="0020"/>
        <w:jc w:val="start"/>
      </w:tblPr>
      <w:tblGrid>
        <w:gridCol w:w="293"/>
        <w:gridCol w:w="1299"/>
        <w:gridCol w:w="628"/>
        <w:gridCol w:w="838"/>
        <w:gridCol w:w="796"/>
        <w:gridCol w:w="796"/>
        <w:gridCol w:w="880"/>
        <w:gridCol w:w="838"/>
        <w:gridCol w:w="838"/>
        <w:gridCol w:w="712"/>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6110</w:t>
            </w:r>
          </w:p>
        </w:tc>
        <w:tc>
          <w:tcPr/>
          <w:p>
            <w:pPr>
              <w:pStyle w:val="Compact"/>
              <w:jc w:val="left"/>
            </w:pPr>
            <w:r>
              <w:t xml:space="preserve">Ethinylestradiol, 0.03 mg, PO,</w:t>
            </w:r>
          </w:p>
        </w:tc>
        <w:tc>
          <w:tcPr/>
          <w:p>
            <w:pPr>
              <w:pStyle w:val="Compact"/>
              <w:jc w:val="left"/>
            </w:pPr>
            <w:r>
              <w:t xml:space="preserve">Caffeine, PO</w:t>
            </w:r>
          </w:p>
        </w:tc>
        <w:tc>
          <w:tcPr/>
          <w:p>
            <w:pPr>
              <w:pStyle w:val="Compact"/>
              <w:jc w:val="left"/>
            </w:pPr>
            <w:r>
              <w:t xml:space="preserve">3.13</w:t>
            </w:r>
          </w:p>
        </w:tc>
        <w:tc>
          <w:tcPr/>
          <w:p>
            <w:pPr>
              <w:pStyle w:val="Compact"/>
              <w:jc w:val="left"/>
            </w:pPr>
            <w:r>
              <w:t xml:space="preserve">2.13</w:t>
            </w:r>
          </w:p>
        </w:tc>
        <w:tc>
          <w:tcPr/>
          <w:p>
            <w:pPr>
              <w:pStyle w:val="Compact"/>
              <w:jc w:val="left"/>
            </w:pPr>
            <w:r>
              <w:t xml:space="preserve">1.47</w:t>
            </w:r>
          </w:p>
        </w:tc>
        <w:tc>
          <w:tcPr/>
          <w:p>
            <w:pPr>
              <w:pStyle w:val="Compact"/>
              <w:jc w:val="left"/>
            </w:pPr>
            <w:r>
              <w:t xml:space="preserve">1.10</w:t>
            </w:r>
          </w:p>
        </w:tc>
        <w:tc>
          <w:tcPr/>
          <w:p>
            <w:pPr>
              <w:pStyle w:val="Compact"/>
              <w:jc w:val="left"/>
            </w:pPr>
            <w:r>
              <w:t xml:space="preserve">1.15</w:t>
            </w:r>
          </w:p>
        </w:tc>
        <w:tc>
          <w:tcPr/>
          <w:p>
            <w:pPr>
              <w:pStyle w:val="Compact"/>
              <w:jc w:val="left"/>
            </w:pPr>
            <w:r>
              <w:t xml:space="preserve">0.96</w:t>
            </w:r>
          </w:p>
        </w:tc>
        <w:tc>
          <w:tcPr/>
          <w:p>
            <w:pPr>
              <w:pStyle w:val="Compact"/>
              <w:jc w:val="left"/>
            </w:pPr>
            <w:r>
              <w:t xml:space="preserve">Balogh 1995</w:t>
            </w:r>
          </w:p>
        </w:tc>
      </w:tr>
      <w:tr>
        <w:tc>
          <w:tcPr/>
          <w:p>
            <w:pPr>
              <w:pStyle w:val="Compact"/>
              <w:jc w:val="left"/>
            </w:pPr>
            <w:r>
              <w:t xml:space="preserve">13017</w:t>
            </w:r>
          </w:p>
        </w:tc>
        <w:tc>
          <w:tcPr/>
          <w:p>
            <w:pPr>
              <w:pStyle w:val="Compact"/>
              <w:jc w:val="left"/>
            </w:pPr>
            <w:r>
              <w:t xml:space="preserve">Fluvoxamine, 100 mg, PO,</w:t>
            </w:r>
          </w:p>
        </w:tc>
        <w:tc>
          <w:tcPr/>
          <w:p>
            <w:pPr>
              <w:pStyle w:val="Compact"/>
              <w:jc w:val="left"/>
            </w:pPr>
            <w:r>
              <w:t xml:space="preserve">Tizanidine, PO</w:t>
            </w:r>
          </w:p>
        </w:tc>
        <w:tc>
          <w:tcPr/>
          <w:p>
            <w:pPr>
              <w:pStyle w:val="Compact"/>
              <w:jc w:val="left"/>
            </w:pPr>
            <w:r>
              <w:t xml:space="preserve">40.11</w:t>
            </w:r>
          </w:p>
        </w:tc>
        <w:tc>
          <w:tcPr/>
          <w:p>
            <w:pPr>
              <w:pStyle w:val="Compact"/>
              <w:jc w:val="left"/>
            </w:pPr>
            <w:r>
              <w:t xml:space="preserve">33.00</w:t>
            </w:r>
          </w:p>
        </w:tc>
        <w:tc>
          <w:tcPr/>
          <w:p>
            <w:pPr>
              <w:pStyle w:val="Compact"/>
              <w:jc w:val="left"/>
            </w:pPr>
            <w:r>
              <w:t xml:space="preserve">1.22</w:t>
            </w:r>
          </w:p>
        </w:tc>
        <w:tc>
          <w:tcPr/>
          <w:p>
            <w:pPr>
              <w:pStyle w:val="Compact"/>
              <w:jc w:val="left"/>
            </w:pPr>
            <w:r>
              <w:t xml:space="preserve">16.00</w:t>
            </w:r>
          </w:p>
        </w:tc>
        <w:tc>
          <w:tcPr/>
          <w:p>
            <w:pPr>
              <w:pStyle w:val="Compact"/>
              <w:jc w:val="left"/>
            </w:pPr>
            <w:r>
              <w:t xml:space="preserve">12.10</w:t>
            </w:r>
          </w:p>
        </w:tc>
        <w:tc>
          <w:tcPr/>
          <w:p>
            <w:pPr>
              <w:pStyle w:val="Compact"/>
              <w:jc w:val="left"/>
            </w:pPr>
            <w:r>
              <w:t xml:space="preserve">1.32</w:t>
            </w:r>
          </w:p>
        </w:tc>
        <w:tc>
          <w:tcPr/>
          <w:p>
            <w:pPr>
              <w:pStyle w:val="Compact"/>
              <w:jc w:val="left"/>
            </w:pPr>
            <w:r>
              <w:t xml:space="preserve">Granfors 2004</w:t>
            </w:r>
          </w:p>
        </w:tc>
      </w:tr>
      <w:tr>
        <w:tc>
          <w:tcPr/>
          <w:p>
            <w:pPr>
              <w:pStyle w:val="Compact"/>
              <w:jc w:val="left"/>
            </w:pPr>
            <w:r>
              <w:t xml:space="preserve">13018</w:t>
            </w:r>
          </w:p>
        </w:tc>
        <w:tc>
          <w:tcPr/>
          <w:p>
            <w:pPr>
              <w:pStyle w:val="Compact"/>
              <w:jc w:val="left"/>
            </w:pPr>
            <w:r>
              <w:t xml:space="preserve">Mexiletine, 50 mg, PO,</w:t>
            </w:r>
          </w:p>
        </w:tc>
        <w:tc>
          <w:tcPr/>
          <w:p>
            <w:pPr>
              <w:pStyle w:val="Compact"/>
              <w:jc w:val="left"/>
            </w:pPr>
            <w:r>
              <w:t xml:space="preserve">Tizanidine, PO</w:t>
            </w:r>
          </w:p>
        </w:tc>
        <w:tc>
          <w:tcPr/>
          <w:p>
            <w:pPr>
              <w:pStyle w:val="Compact"/>
              <w:jc w:val="left"/>
            </w:pPr>
            <w:r>
              <w:t xml:space="preserve">2.47</w:t>
            </w:r>
          </w:p>
        </w:tc>
        <w:tc>
          <w:tcPr/>
          <w:p>
            <w:pPr>
              <w:pStyle w:val="Compact"/>
              <w:jc w:val="left"/>
            </w:pPr>
            <w:r>
              <w:t xml:space="preserve">3.42</w:t>
            </w:r>
          </w:p>
        </w:tc>
        <w:tc>
          <w:tcPr/>
          <w:p>
            <w:pPr>
              <w:pStyle w:val="Compact"/>
              <w:jc w:val="left"/>
            </w:pPr>
            <w:r>
              <w:t xml:space="preserve">0.72</w:t>
            </w:r>
          </w:p>
        </w:tc>
        <w:tc>
          <w:tcPr/>
          <w:p>
            <w:pPr>
              <w:pStyle w:val="Compact"/>
              <w:jc w:val="left"/>
            </w:pPr>
            <w:r>
              <w:t xml:space="preserve">2.42</w:t>
            </w:r>
          </w:p>
        </w:tc>
        <w:tc>
          <w:tcPr/>
          <w:p>
            <w:pPr>
              <w:pStyle w:val="Compact"/>
              <w:jc w:val="left"/>
            </w:pPr>
            <w:r>
              <w:t xml:space="preserve">3.22</w:t>
            </w:r>
          </w:p>
        </w:tc>
        <w:tc>
          <w:tcPr/>
          <w:p>
            <w:pPr>
              <w:pStyle w:val="Compact"/>
              <w:jc w:val="left"/>
            </w:pPr>
            <w:r>
              <w:t xml:space="preserve">0.75</w:t>
            </w:r>
          </w:p>
        </w:tc>
        <w:tc>
          <w:tcPr/>
          <w:p>
            <w:pPr>
              <w:pStyle w:val="Compact"/>
              <w:jc w:val="left"/>
            </w:pPr>
            <w:r>
              <w:t xml:space="preserve">Momo 2010</w:t>
            </w:r>
          </w:p>
        </w:tc>
      </w:tr>
      <w:tr>
        <w:tc>
          <w:tcPr/>
          <w:p>
            <w:pPr>
              <w:pStyle w:val="Compact"/>
              <w:jc w:val="left"/>
            </w:pPr>
            <w:r>
              <w:t xml:space="preserve">14002</w:t>
            </w:r>
          </w:p>
        </w:tc>
        <w:tc>
          <w:tcPr/>
          <w:p>
            <w:pPr>
              <w:pStyle w:val="Compact"/>
              <w:jc w:val="left"/>
            </w:pPr>
            <w:r>
              <w:t xml:space="preserve">Ethinylestradiol, 20 mg, PO,</w:t>
            </w:r>
          </w:p>
        </w:tc>
        <w:tc>
          <w:tcPr/>
          <w:p>
            <w:pPr>
              <w:pStyle w:val="Compact"/>
              <w:jc w:val="left"/>
            </w:pPr>
            <w:r>
              <w:t xml:space="preserve">Tizanidine, PO</w:t>
            </w:r>
          </w:p>
        </w:tc>
        <w:tc>
          <w:tcPr/>
          <w:p>
            <w:pPr>
              <w:pStyle w:val="Compact"/>
              <w:jc w:val="left"/>
            </w:pPr>
            <w:r>
              <w:t xml:space="preserve">4.43</w:t>
            </w:r>
          </w:p>
        </w:tc>
        <w:tc>
          <w:tcPr/>
          <w:p>
            <w:pPr>
              <w:pStyle w:val="Compact"/>
              <w:jc w:val="left"/>
            </w:pPr>
            <w:r>
              <w:t xml:space="preserve">3.92</w:t>
            </w:r>
          </w:p>
        </w:tc>
        <w:tc>
          <w:tcPr/>
          <w:p>
            <w:pPr>
              <w:pStyle w:val="Compact"/>
              <w:jc w:val="left"/>
            </w:pPr>
            <w:r>
              <w:t xml:space="preserve">1.13</w:t>
            </w:r>
          </w:p>
        </w:tc>
        <w:tc>
          <w:tcPr/>
          <w:p>
            <w:pPr>
              <w:pStyle w:val="Compact"/>
              <w:jc w:val="left"/>
            </w:pPr>
            <w:r>
              <w:t xml:space="preserve">3.75</w:t>
            </w:r>
          </w:p>
        </w:tc>
        <w:tc>
          <w:tcPr/>
          <w:p>
            <w:pPr>
              <w:pStyle w:val="Compact"/>
              <w:jc w:val="left"/>
            </w:pPr>
            <w:r>
              <w:t xml:space="preserve">3.02</w:t>
            </w:r>
          </w:p>
        </w:tc>
        <w:tc>
          <w:tcPr/>
          <w:p>
            <w:pPr>
              <w:pStyle w:val="Compact"/>
              <w:jc w:val="left"/>
            </w:pPr>
            <w:r>
              <w:t xml:space="preserve">1.24</w:t>
            </w:r>
          </w:p>
        </w:tc>
        <w:tc>
          <w:tcPr/>
          <w:p>
            <w:pPr>
              <w:pStyle w:val="Compact"/>
              <w:jc w:val="left"/>
            </w:pPr>
            <w:r>
              <w:t xml:space="preserve">Granfors 2005</w:t>
            </w:r>
          </w:p>
        </w:tc>
      </w:tr>
      <w:tr>
        <w:tc>
          <w:tcPr/>
          <w:p>
            <w:pPr>
              <w:pStyle w:val="Compact"/>
              <w:jc w:val="left"/>
            </w:pPr>
            <w:r>
              <w:t xml:space="preserve">14004</w:t>
            </w:r>
          </w:p>
        </w:tc>
        <w:tc>
          <w:tcPr/>
          <w:p>
            <w:pPr>
              <w:pStyle w:val="Compact"/>
              <w:jc w:val="left"/>
            </w:pPr>
            <w:r>
              <w:t xml:space="preserve">Fluvoxamine, 100 mg, PO,</w:t>
            </w:r>
          </w:p>
        </w:tc>
        <w:tc>
          <w:tcPr/>
          <w:p>
            <w:pPr>
              <w:pStyle w:val="Compact"/>
              <w:jc w:val="left"/>
            </w:pPr>
            <w:r>
              <w:t xml:space="preserve">Caffeine, PO</w:t>
            </w:r>
          </w:p>
        </w:tc>
        <w:tc>
          <w:tcPr/>
          <w:p>
            <w:pPr>
              <w:pStyle w:val="Compact"/>
              <w:jc w:val="left"/>
            </w:pPr>
            <w:r>
              <w:t xml:space="preserve">9.03</w:t>
            </w:r>
          </w:p>
        </w:tc>
        <w:tc>
          <w:tcPr/>
          <w:p>
            <w:pPr>
              <w:pStyle w:val="Compact"/>
              <w:jc w:val="left"/>
            </w:pPr>
            <w:r>
              <w:t xml:space="preserve">7.16</w:t>
            </w:r>
          </w:p>
        </w:tc>
        <w:tc>
          <w:tcPr/>
          <w:p>
            <w:pPr>
              <w:pStyle w:val="Compact"/>
              <w:jc w:val="left"/>
            </w:pPr>
            <w:r>
              <w:t xml:space="preserve">1.26</w:t>
            </w:r>
          </w:p>
        </w:tc>
        <w:tc>
          <w:tcPr/>
          <w:p>
            <w:pPr>
              <w:pStyle w:val="Compact"/>
              <w:jc w:val="left"/>
            </w:pPr>
            <w:r>
              <w:t xml:space="preserve">1.08</w:t>
            </w:r>
          </w:p>
        </w:tc>
        <w:tc>
          <w:tcPr/>
          <w:p>
            <w:pPr>
              <w:pStyle w:val="Compact"/>
              <w:jc w:val="left"/>
            </w:pPr>
            <w:r>
              <w:t xml:space="preserve">1.09</w:t>
            </w:r>
          </w:p>
        </w:tc>
        <w:tc>
          <w:tcPr/>
          <w:p>
            <w:pPr>
              <w:pStyle w:val="Compact"/>
              <w:jc w:val="left"/>
            </w:pPr>
            <w:r>
              <w:t xml:space="preserve">0.99</w:t>
            </w:r>
          </w:p>
        </w:tc>
        <w:tc>
          <w:tcPr/>
          <w:p>
            <w:pPr>
              <w:pStyle w:val="Compact"/>
              <w:jc w:val="left"/>
            </w:pPr>
            <w:r>
              <w:t xml:space="preserve">Jeppesen 1996</w:t>
            </w:r>
          </w:p>
        </w:tc>
      </w:tr>
      <w:tr>
        <w:tc>
          <w:tcPr/>
          <w:p>
            <w:pPr>
              <w:pStyle w:val="Compact"/>
              <w:jc w:val="left"/>
            </w:pPr>
            <w:r>
              <w:t xml:space="preserve">14006</w:t>
            </w:r>
          </w:p>
        </w:tc>
        <w:tc>
          <w:tcPr/>
          <w:p>
            <w:pPr>
              <w:pStyle w:val="Compact"/>
              <w:jc w:val="left"/>
            </w:pPr>
            <w:r>
              <w:t xml:space="preserve">Fluvoxamine, 100 mg, PO,</w:t>
            </w:r>
          </w:p>
        </w:tc>
        <w:tc>
          <w:tcPr/>
          <w:p>
            <w:pPr>
              <w:pStyle w:val="Compact"/>
              <w:jc w:val="left"/>
            </w:pPr>
            <w:r>
              <w:t xml:space="preserve">Caffeine, PO</w:t>
            </w:r>
          </w:p>
        </w:tc>
        <w:tc>
          <w:tcPr/>
          <w:p>
            <w:pPr>
              <w:pStyle w:val="Compact"/>
              <w:jc w:val="left"/>
            </w:pPr>
            <w:r>
              <w:t xml:space="preserve">4.35</w:t>
            </w:r>
          </w:p>
        </w:tc>
        <w:tc>
          <w:tcPr/>
          <w:p>
            <w:pPr>
              <w:pStyle w:val="Compact"/>
              <w:jc w:val="left"/>
            </w:pPr>
            <w:r>
              <w:t xml:space="preserve">13.71</w:t>
            </w:r>
          </w:p>
        </w:tc>
        <w:tc>
          <w:tcPr/>
          <w:p>
            <w:pPr>
              <w:pStyle w:val="Compact"/>
              <w:jc w:val="left"/>
            </w:pPr>
            <w:r>
              <w:t xml:space="preserve">0.32</w:t>
            </w:r>
          </w:p>
        </w:tc>
        <w:tc>
          <w:tcPr/>
          <w:p>
            <w:pPr>
              <w:pStyle w:val="Compact"/>
              <w:jc w:val="left"/>
            </w:pPr>
            <w:r>
              <w:t xml:space="preserve">1.34</w:t>
            </w:r>
          </w:p>
        </w:tc>
        <w:tc>
          <w:tcPr/>
          <w:p>
            <w:pPr>
              <w:pStyle w:val="Compact"/>
              <w:jc w:val="left"/>
            </w:pPr>
            <w:r>
              <w:t xml:space="preserve">1.40</w:t>
            </w:r>
          </w:p>
        </w:tc>
        <w:tc>
          <w:tcPr/>
          <w:p>
            <w:pPr>
              <w:pStyle w:val="Compact"/>
              <w:jc w:val="left"/>
            </w:pPr>
            <w:r>
              <w:t xml:space="preserve">0.96</w:t>
            </w:r>
          </w:p>
        </w:tc>
        <w:tc>
          <w:tcPr/>
          <w:p>
            <w:pPr>
              <w:pStyle w:val="Compact"/>
              <w:jc w:val="left"/>
            </w:pPr>
            <w:r>
              <w:t xml:space="preserve">Culm-Merdek 2005</w:t>
            </w:r>
          </w:p>
        </w:tc>
      </w:tr>
      <w:tr>
        <w:tc>
          <w:tcPr/>
          <w:p>
            <w:pPr>
              <w:pStyle w:val="Compact"/>
              <w:jc w:val="left"/>
            </w:pPr>
            <w:r>
              <w:t xml:space="preserve">14008</w:t>
            </w:r>
          </w:p>
        </w:tc>
        <w:tc>
          <w:tcPr/>
          <w:p>
            <w:pPr>
              <w:pStyle w:val="Compact"/>
              <w:jc w:val="left"/>
            </w:pPr>
            <w:r>
              <w:t xml:space="preserve">Mexiletine, 200 mg, PO,</w:t>
            </w:r>
          </w:p>
        </w:tc>
        <w:tc>
          <w:tcPr/>
          <w:p>
            <w:pPr>
              <w:pStyle w:val="Compact"/>
              <w:jc w:val="left"/>
            </w:pPr>
            <w:r>
              <w:t xml:space="preserve">Caffeine, PO</w:t>
            </w:r>
          </w:p>
        </w:tc>
        <w:tc>
          <w:tcPr/>
          <w:p>
            <w:pPr>
              <w:pStyle w:val="Compact"/>
              <w:jc w:val="left"/>
            </w:pPr>
            <w:r>
              <w:t xml:space="preserve">1.58</w:t>
            </w:r>
          </w:p>
        </w:tc>
        <w:tc>
          <w:tcPr/>
          <w:p>
            <w:pPr>
              <w:pStyle w:val="Compact"/>
              <w:jc w:val="left"/>
            </w:pPr>
            <w:r>
              <w:t xml:space="preserve">2.83</w:t>
            </w:r>
          </w:p>
        </w:tc>
        <w:tc>
          <w:tcPr/>
          <w:p>
            <w:pPr>
              <w:pStyle w:val="Compact"/>
              <w:jc w:val="left"/>
            </w:pPr>
            <w:r>
              <w:t xml:space="preserve">0.56</w:t>
            </w:r>
          </w:p>
        </w:tc>
        <w:tc>
          <w:tcPr/>
          <w:p>
            <w:pPr>
              <w:pStyle w:val="Compact"/>
              <w:jc w:val="left"/>
            </w:pPr>
            <w:r>
              <w:t xml:space="preserve">1.00</w:t>
            </w:r>
          </w:p>
        </w:tc>
        <w:tc>
          <w:tcPr/>
          <w:p>
            <w:pPr>
              <w:pStyle w:val="Compact"/>
              <w:jc w:val="left"/>
            </w:pPr>
            <w:r>
              <w:t xml:space="preserve">1.89</w:t>
            </w:r>
          </w:p>
        </w:tc>
        <w:tc>
          <w:tcPr/>
          <w:p>
            <w:pPr>
              <w:pStyle w:val="Compact"/>
              <w:jc w:val="left"/>
            </w:pPr>
            <w:r>
              <w:t xml:space="preserve">0.53</w:t>
            </w:r>
          </w:p>
        </w:tc>
        <w:tc>
          <w:tcPr/>
          <w:p>
            <w:pPr>
              <w:pStyle w:val="Compact"/>
              <w:jc w:val="left"/>
            </w:pPr>
            <w:r>
              <w:t xml:space="preserve">Joeres 1987</w:t>
            </w:r>
          </w:p>
        </w:tc>
      </w:tr>
      <w:tr>
        <w:tc>
          <w:tcPr/>
          <w:p>
            <w:pPr>
              <w:pStyle w:val="Compact"/>
              <w:jc w:val="left"/>
            </w:pPr>
            <w:r>
              <w:t xml:space="preserve">14010</w:t>
            </w:r>
          </w:p>
        </w:tc>
        <w:tc>
          <w:tcPr/>
          <w:p>
            <w:pPr>
              <w:pStyle w:val="Compact"/>
              <w:jc w:val="left"/>
            </w:pPr>
            <w:r>
              <w:t xml:space="preserve">Fluvoxamine, 50 mg, PO,</w:t>
            </w:r>
          </w:p>
        </w:tc>
        <w:tc>
          <w:tcPr/>
          <w:p>
            <w:pPr>
              <w:pStyle w:val="Compact"/>
              <w:jc w:val="left"/>
            </w:pPr>
            <w:r>
              <w:t xml:space="preserve">Mexiletine, PO</w:t>
            </w:r>
          </w:p>
        </w:tc>
        <w:tc>
          <w:tcPr/>
          <w:p>
            <w:pPr>
              <w:pStyle w:val="Compact"/>
              <w:jc w:val="left"/>
            </w:pPr>
            <w:r>
              <w:t xml:space="preserve">1.20</w:t>
            </w:r>
          </w:p>
        </w:tc>
        <w:tc>
          <w:tcPr/>
          <w:p>
            <w:pPr>
              <w:pStyle w:val="Compact"/>
              <w:jc w:val="left"/>
            </w:pPr>
            <w:r>
              <w:t xml:space="preserve">1.55</w:t>
            </w:r>
          </w:p>
        </w:tc>
        <w:tc>
          <w:tcPr/>
          <w:p>
            <w:pPr>
              <w:pStyle w:val="Compact"/>
              <w:jc w:val="left"/>
            </w:pPr>
            <w:r>
              <w:t xml:space="preserve">0.77</w:t>
            </w:r>
          </w:p>
        </w:tc>
        <w:tc>
          <w:tcPr/>
          <w:p>
            <w:pPr>
              <w:pStyle w:val="Compact"/>
              <w:jc w:val="left"/>
            </w:pPr>
            <w:r>
              <w:t xml:space="preserve">1.08</w:t>
            </w:r>
          </w:p>
        </w:tc>
        <w:tc>
          <w:tcPr/>
          <w:p>
            <w:pPr>
              <w:pStyle w:val="Compact"/>
              <w:jc w:val="left"/>
            </w:pPr>
            <w:r>
              <w:t xml:space="preserve">1.16</w:t>
            </w:r>
          </w:p>
        </w:tc>
        <w:tc>
          <w:tcPr/>
          <w:p>
            <w:pPr>
              <w:pStyle w:val="Compact"/>
              <w:jc w:val="left"/>
            </w:pPr>
            <w:r>
              <w:t xml:space="preserve">0.93</w:t>
            </w:r>
          </w:p>
        </w:tc>
        <w:tc>
          <w:tcPr/>
          <w:p>
            <w:pPr>
              <w:pStyle w:val="Compact"/>
              <w:jc w:val="left"/>
            </w:pPr>
            <w:r>
              <w:t xml:space="preserve">Kusumoto 2001</w:t>
            </w:r>
          </w:p>
        </w:tc>
      </w:tr>
    </w:tbl>
    <w:p>
      <w:pPr>
        <w:pStyle w:val="BodyText"/>
      </w:pPr>
      <w:r>
        <w:t xml:space="preserve"> </w:t>
      </w:r>
    </w:p>
    <w:bookmarkStart w:id="87" w:name="perpetrator"/>
    <w:p>
      <w:pPr>
        <w:pStyle w:val="Heading2"/>
      </w:pPr>
      <w:r>
        <w:t xml:space="preserve">Perpetrator</w:t>
      </w:r>
      <w:bookmarkStart w:id="qualification-cyp1a2-ddi-ddi-subunit-9" w:name="qualification-cyp1a2-ddi-ddi-subunit-9"/>
      <w:bookmarkEnd w:id="qualification-cyp1a2-ddi-ddi-subunit-9"/>
    </w:p>
    <w:bookmarkStart w:id="60" w:name="ethinylestradiol"/>
    <w:p>
      <w:pPr>
        <w:pStyle w:val="Heading3"/>
      </w:pPr>
      <w:r>
        <w:t xml:space="preserve">Ethinylestradiol</w:t>
      </w:r>
      <w:bookmarkStart w:id="qualification-cyp1a2-ddi-ddi-subunit-10" w:name="qualification-cyp1a2-ddi-ddi-subunit-10"/>
      <w:bookmarkEnd w:id="qualification-cyp1a2-ddi-ddi-subunit-10"/>
    </w:p>
    <w:br w:type="page"/>
    <w:p>
      <w:pPr>
        <w:pStyle w:val="FirstParagraph"/>
      </w:pPr>
      <w:bookmarkStart w:id="figure-2-5" w:name="figure-2-5"/>
      <w:bookmarkEnd w:id="figure-2-5"/>
    </w:p>
    <w:p>
      <w:pPr>
        <w:pStyle w:val="BodyText"/>
      </w:pPr>
      <w:r>
        <w:drawing>
          <wp:inline>
            <wp:extent cx="5969000" cy="4575894"/>
            <wp:effectExtent b="0" l="0" r="0" t="0"/>
            <wp:docPr descr="" title="" id="49" name="Picture"/>
            <a:graphic>
              <a:graphicData uri="http://schemas.openxmlformats.org/drawingml/2006/picture">
                <pic:pic>
                  <pic:nvPicPr>
                    <pic:cNvPr descr="images/011_section_qualification-cyp1a2-ddi/DDIRatio_1_perpetrator_Ethinylestradiol_ddi_ratio_plot_AUC_predictedVsObserved.png" id="50" name="Picture"/>
                    <pic:cNvPicPr>
                      <a:picLocks noChangeArrowheads="1" noChangeAspect="1"/>
                    </pic:cNvPicPr>
                  </pic:nvPicPr>
                  <pic:blipFill>
                    <a:blip r:embed="rId48"/>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2-5: CYP1A2 DDI. Perpetrator: Ethinylestradiol. Predicted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6" w:name="figure-2-6"/>
      <w:bookmarkEnd w:id="figure-2-6"/>
    </w:p>
    <w:p>
      <w:pPr>
        <w:pStyle w:val="BodyText"/>
      </w:pPr>
      <w:r>
        <w:drawing>
          <wp:inline>
            <wp:extent cx="5969000" cy="4575894"/>
            <wp:effectExtent b="0" l="0" r="0" t="0"/>
            <wp:docPr descr="" title="" id="52" name="Picture"/>
            <a:graphic>
              <a:graphicData uri="http://schemas.openxmlformats.org/drawingml/2006/picture">
                <pic:pic>
                  <pic:nvPicPr>
                    <pic:cNvPr descr="images/011_section_qualification-cyp1a2-ddi/DDIRatio_1_perpetrator_Ethinylestradiol_ddi_ratio_plot_AUC_residualsVsObserved.png" id="53" name="Picture"/>
                    <pic:cNvPicPr>
                      <a:picLocks noChangeArrowheads="1" noChangeAspect="1"/>
                    </pic:cNvPicPr>
                  </pic:nvPicPr>
                  <pic:blipFill>
                    <a:blip r:embed="rId51"/>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2-6: CYP1A2 DDI. Perpetrator: Ethinylestradiol. Predicted/Observed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7" w:name="figure-2-7"/>
      <w:bookmarkEnd w:id="figure-2-7"/>
    </w:p>
    <w:p>
      <w:pPr>
        <w:pStyle w:val="BodyText"/>
      </w:pPr>
      <w:r>
        <w:drawing>
          <wp:inline>
            <wp:extent cx="5969000" cy="4575894"/>
            <wp:effectExtent b="0" l="0" r="0" t="0"/>
            <wp:docPr descr="" title="" id="55" name="Picture"/>
            <a:graphic>
              <a:graphicData uri="http://schemas.openxmlformats.org/drawingml/2006/picture">
                <pic:pic>
                  <pic:nvPicPr>
                    <pic:cNvPr descr="images/011_section_qualification-cyp1a2-ddi/DDIRatio_1_perpetrator_Ethinylestradiol_ddi_ratio_plot_CMAX_predictedVsObserved.png" id="56" name="Picture"/>
                    <pic:cNvPicPr>
                      <a:picLocks noChangeArrowheads="1" noChangeAspect="1"/>
                    </pic:cNvPicPr>
                  </pic:nvPicPr>
                  <pic:blipFill>
                    <a:blip r:embed="rId54"/>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2-7: CYP1A2 DDI. Perpetrator: Ethinylestradiol. Predicted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8" w:name="figure-2-8"/>
      <w:bookmarkEnd w:id="figure-2-8"/>
    </w:p>
    <w:p>
      <w:pPr>
        <w:pStyle w:val="BodyText"/>
      </w:pPr>
      <w:r>
        <w:drawing>
          <wp:inline>
            <wp:extent cx="5969000" cy="4575894"/>
            <wp:effectExtent b="0" l="0" r="0" t="0"/>
            <wp:docPr descr="" title="" id="58" name="Picture"/>
            <a:graphic>
              <a:graphicData uri="http://schemas.openxmlformats.org/drawingml/2006/picture">
                <pic:pic>
                  <pic:nvPicPr>
                    <pic:cNvPr descr="images/011_section_qualification-cyp1a2-ddi/DDIRatio_1_perpetrator_Ethinylestradiol_ddi_ratio_plot_CMAX_residualsVsObserved.png" id="59" name="Picture"/>
                    <pic:cNvPicPr>
                      <a:picLocks noChangeArrowheads="1" noChangeAspect="1"/>
                    </pic:cNvPicPr>
                  </pic:nvPicPr>
                  <pic:blipFill>
                    <a:blip r:embed="rId57"/>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2-8: CYP1A2 DDI. Perpetrator: Ethinylestradiol. Predicted/Observed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table-2-5" w:name="table-2-5"/>
      <w:bookmarkEnd w:id="table-2-5"/>
    </w:p>
    <w:p>
      <w:pPr>
        <w:pStyle w:val="BodyText"/>
      </w:pPr>
      <w:r>
        <w:rPr>
          <w:bCs/>
          <w:b/>
        </w:rPr>
        <w:t xml:space="preserve">Table 2-5: GMFE for CYP1A2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1.29</w:t>
            </w:r>
          </w:p>
        </w:tc>
      </w:tr>
      <w:tr>
        <w:tc>
          <w:tcPr/>
          <w:p>
            <w:pPr>
              <w:pStyle w:val="Compact"/>
              <w:jc w:val="left"/>
            </w:pPr>
            <w:r>
              <w:t xml:space="preserve">CMAX</w:t>
            </w:r>
          </w:p>
        </w:tc>
        <w:tc>
          <w:tcPr/>
          <w:p>
            <w:pPr>
              <w:pStyle w:val="Compact"/>
              <w:jc w:val="left"/>
            </w:pPr>
            <w:r>
              <w:t xml:space="preserve">1.14</w:t>
            </w:r>
          </w:p>
        </w:tc>
      </w:tr>
    </w:tbl>
    <w:p>
      <w:pPr>
        <w:pStyle w:val="BodyText"/>
      </w:pPr>
      <w:r>
        <w:t xml:space="preserve"> </w:t>
      </w:r>
    </w:p>
    <w:br w:type="page"/>
    <w:p>
      <w:pPr>
        <w:pStyle w:val="BodyText"/>
      </w:pPr>
      <w:bookmarkStart w:id="table-2-6" w:name="table-2-6"/>
      <w:bookmarkEnd w:id="table-2-6"/>
    </w:p>
    <w:p>
      <w:pPr>
        <w:pStyle w:val="BodyText"/>
      </w:pPr>
      <w:r>
        <w:rPr>
          <w:bCs/>
          <w:b/>
        </w:rPr>
        <w:t xml:space="preserve">Table 2-6: Summary table for CYP1A2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100</w:t>
            </w:r>
          </w:p>
        </w:tc>
      </w:tr>
    </w:tbl>
    <w:p>
      <w:pPr>
        <w:pStyle w:val="BodyText"/>
      </w:pPr>
      <w:r>
        <w:t xml:space="preserve"> </w:t>
      </w:r>
    </w:p>
    <w:br w:type="page"/>
    <w:p>
      <w:pPr>
        <w:pStyle w:val="BodyText"/>
      </w:pPr>
      <w:bookmarkStart w:id="table-2-7" w:name="table-2-7"/>
      <w:bookmarkEnd w:id="table-2-7"/>
    </w:p>
    <w:p>
      <w:pPr>
        <w:pStyle w:val="BodyText"/>
      </w:pPr>
      <w:r>
        <w:rPr>
          <w:bCs/>
          <w:b/>
        </w:rPr>
        <w:t xml:space="preserve">Table 2-7: Summary table for CYP1A2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100</w:t>
            </w:r>
          </w:p>
        </w:tc>
      </w:tr>
    </w:tbl>
    <w:p>
      <w:pPr>
        <w:pStyle w:val="BodyText"/>
      </w:pPr>
      <w:r>
        <w:t xml:space="preserve"> </w:t>
      </w:r>
    </w:p>
    <w:bookmarkEnd w:id="60"/>
    <w:bookmarkStart w:id="73" w:name="fluvoxamine"/>
    <w:p>
      <w:pPr>
        <w:pStyle w:val="Heading3"/>
      </w:pPr>
      <w:r>
        <w:t xml:space="preserve">Fluvoxamine</w:t>
      </w:r>
      <w:bookmarkStart w:id="qualification-cyp1a2-ddi-ddi-subunit-18" w:name="qualification-cyp1a2-ddi-ddi-subunit-18"/>
      <w:bookmarkEnd w:id="qualification-cyp1a2-ddi-ddi-subunit-18"/>
    </w:p>
    <w:br w:type="page"/>
    <w:p>
      <w:pPr>
        <w:pStyle w:val="FirstParagraph"/>
      </w:pPr>
      <w:bookmarkStart w:id="figure-2-9" w:name="figure-2-9"/>
      <w:bookmarkEnd w:id="figure-2-9"/>
    </w:p>
    <w:p>
      <w:pPr>
        <w:pStyle w:val="BodyText"/>
      </w:pPr>
      <w:r>
        <w:drawing>
          <wp:inline>
            <wp:extent cx="5969000" cy="4650363"/>
            <wp:effectExtent b="0" l="0" r="0" t="0"/>
            <wp:docPr descr="" title="" id="62" name="Picture"/>
            <a:graphic>
              <a:graphicData uri="http://schemas.openxmlformats.org/drawingml/2006/picture">
                <pic:pic>
                  <pic:nvPicPr>
                    <pic:cNvPr descr="images/011_section_qualification-cyp1a2-ddi/DDIRatio_1_perpetrator_Fluvoxamine_ddi_ratio_plot_AUC_predictedVsObserved.png" id="63" name="Picture"/>
                    <pic:cNvPicPr>
                      <a:picLocks noChangeArrowheads="1" noChangeAspect="1"/>
                    </pic:cNvPicPr>
                  </pic:nvPicPr>
                  <pic:blipFill>
                    <a:blip r:embed="rId61"/>
                    <a:stretch>
                      <a:fillRect/>
                    </a:stretch>
                  </pic:blipFill>
                  <pic:spPr bwMode="auto">
                    <a:xfrm>
                      <a:off x="0" y="0"/>
                      <a:ext cx="5969000" cy="4650363"/>
                    </a:xfrm>
                    <a:prstGeom prst="rect">
                      <a:avLst/>
                    </a:prstGeom>
                    <a:noFill/>
                    <a:ln w="9525">
                      <a:noFill/>
                      <a:headEnd/>
                      <a:tailEnd/>
                    </a:ln>
                  </pic:spPr>
                </pic:pic>
              </a:graphicData>
            </a:graphic>
          </wp:inline>
        </w:drawing>
      </w:r>
    </w:p>
    <w:p>
      <w:pPr>
        <w:pStyle w:val="BodyText"/>
      </w:pPr>
      <w:r>
        <w:rPr>
          <w:bCs/>
          <w:b/>
        </w:rPr>
        <w:t xml:space="preserve">Figure 2-9: CYP1A2 DDI. Perpetrator: Fluvoxamine. Predicted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10" w:name="figure-2-10"/>
      <w:bookmarkEnd w:id="figure-2-10"/>
    </w:p>
    <w:p>
      <w:pPr>
        <w:pStyle w:val="BodyText"/>
      </w:pPr>
      <w:r>
        <w:drawing>
          <wp:inline>
            <wp:extent cx="5969000" cy="4650363"/>
            <wp:effectExtent b="0" l="0" r="0" t="0"/>
            <wp:docPr descr="" title="" id="65" name="Picture"/>
            <a:graphic>
              <a:graphicData uri="http://schemas.openxmlformats.org/drawingml/2006/picture">
                <pic:pic>
                  <pic:nvPicPr>
                    <pic:cNvPr descr="images/011_section_qualification-cyp1a2-ddi/DDIRatio_1_perpetrator_Fluvoxamine_ddi_ratio_plot_AUC_residualsVsObserved.png" id="66" name="Picture"/>
                    <pic:cNvPicPr>
                      <a:picLocks noChangeArrowheads="1" noChangeAspect="1"/>
                    </pic:cNvPicPr>
                  </pic:nvPicPr>
                  <pic:blipFill>
                    <a:blip r:embed="rId64"/>
                    <a:stretch>
                      <a:fillRect/>
                    </a:stretch>
                  </pic:blipFill>
                  <pic:spPr bwMode="auto">
                    <a:xfrm>
                      <a:off x="0" y="0"/>
                      <a:ext cx="5969000" cy="4650363"/>
                    </a:xfrm>
                    <a:prstGeom prst="rect">
                      <a:avLst/>
                    </a:prstGeom>
                    <a:noFill/>
                    <a:ln w="9525">
                      <a:noFill/>
                      <a:headEnd/>
                      <a:tailEnd/>
                    </a:ln>
                  </pic:spPr>
                </pic:pic>
              </a:graphicData>
            </a:graphic>
          </wp:inline>
        </w:drawing>
      </w:r>
    </w:p>
    <w:p>
      <w:pPr>
        <w:pStyle w:val="BodyText"/>
      </w:pPr>
      <w:r>
        <w:rPr>
          <w:bCs/>
          <w:b/>
        </w:rPr>
        <w:t xml:space="preserve">Figure 2-10: CYP1A2 DDI. Perpetrator: Fluvoxamine. Predicted/Observed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11" w:name="figure-2-11"/>
      <w:bookmarkEnd w:id="figure-2-11"/>
    </w:p>
    <w:p>
      <w:pPr>
        <w:pStyle w:val="BodyText"/>
      </w:pPr>
      <w:r>
        <w:drawing>
          <wp:inline>
            <wp:extent cx="5969000" cy="4650363"/>
            <wp:effectExtent b="0" l="0" r="0" t="0"/>
            <wp:docPr descr="" title="" id="68" name="Picture"/>
            <a:graphic>
              <a:graphicData uri="http://schemas.openxmlformats.org/drawingml/2006/picture">
                <pic:pic>
                  <pic:nvPicPr>
                    <pic:cNvPr descr="images/011_section_qualification-cyp1a2-ddi/DDIRatio_1_perpetrator_Fluvoxamine_ddi_ratio_plot_CMAX_predictedVsObserved.png" id="69" name="Picture"/>
                    <pic:cNvPicPr>
                      <a:picLocks noChangeArrowheads="1" noChangeAspect="1"/>
                    </pic:cNvPicPr>
                  </pic:nvPicPr>
                  <pic:blipFill>
                    <a:blip r:embed="rId67"/>
                    <a:stretch>
                      <a:fillRect/>
                    </a:stretch>
                  </pic:blipFill>
                  <pic:spPr bwMode="auto">
                    <a:xfrm>
                      <a:off x="0" y="0"/>
                      <a:ext cx="5969000" cy="4650363"/>
                    </a:xfrm>
                    <a:prstGeom prst="rect">
                      <a:avLst/>
                    </a:prstGeom>
                    <a:noFill/>
                    <a:ln w="9525">
                      <a:noFill/>
                      <a:headEnd/>
                      <a:tailEnd/>
                    </a:ln>
                  </pic:spPr>
                </pic:pic>
              </a:graphicData>
            </a:graphic>
          </wp:inline>
        </w:drawing>
      </w:r>
    </w:p>
    <w:p>
      <w:pPr>
        <w:pStyle w:val="BodyText"/>
      </w:pPr>
      <w:r>
        <w:rPr>
          <w:bCs/>
          <w:b/>
        </w:rPr>
        <w:t xml:space="preserve">Figure 2-11: CYP1A2 DDI. Perpetrator: Fluvoxamine. Predicted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12" w:name="figure-2-12"/>
      <w:bookmarkEnd w:id="figure-2-12"/>
    </w:p>
    <w:p>
      <w:pPr>
        <w:pStyle w:val="BodyText"/>
      </w:pPr>
      <w:r>
        <w:drawing>
          <wp:inline>
            <wp:extent cx="5969000" cy="4650363"/>
            <wp:effectExtent b="0" l="0" r="0" t="0"/>
            <wp:docPr descr="" title="" id="71" name="Picture"/>
            <a:graphic>
              <a:graphicData uri="http://schemas.openxmlformats.org/drawingml/2006/picture">
                <pic:pic>
                  <pic:nvPicPr>
                    <pic:cNvPr descr="images/011_section_qualification-cyp1a2-ddi/DDIRatio_1_perpetrator_Fluvoxamine_ddi_ratio_plot_CMAX_residualsVsObserved.png" id="72" name="Picture"/>
                    <pic:cNvPicPr>
                      <a:picLocks noChangeArrowheads="1" noChangeAspect="1"/>
                    </pic:cNvPicPr>
                  </pic:nvPicPr>
                  <pic:blipFill>
                    <a:blip r:embed="rId70"/>
                    <a:stretch>
                      <a:fillRect/>
                    </a:stretch>
                  </pic:blipFill>
                  <pic:spPr bwMode="auto">
                    <a:xfrm>
                      <a:off x="0" y="0"/>
                      <a:ext cx="5969000" cy="4650363"/>
                    </a:xfrm>
                    <a:prstGeom prst="rect">
                      <a:avLst/>
                    </a:prstGeom>
                    <a:noFill/>
                    <a:ln w="9525">
                      <a:noFill/>
                      <a:headEnd/>
                      <a:tailEnd/>
                    </a:ln>
                  </pic:spPr>
                </pic:pic>
              </a:graphicData>
            </a:graphic>
          </wp:inline>
        </w:drawing>
      </w:r>
    </w:p>
    <w:p>
      <w:pPr>
        <w:pStyle w:val="BodyText"/>
      </w:pPr>
      <w:r>
        <w:rPr>
          <w:bCs/>
          <w:b/>
        </w:rPr>
        <w:t xml:space="preserve">Figure 2-12: CYP1A2 DDI. Perpetrator: Fluvoxamine. Predicted/Observed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table-2-8" w:name="table-2-8"/>
      <w:bookmarkEnd w:id="table-2-8"/>
    </w:p>
    <w:p>
      <w:pPr>
        <w:pStyle w:val="BodyText"/>
      </w:pPr>
      <w:r>
        <w:rPr>
          <w:bCs/>
          <w:b/>
        </w:rPr>
        <w:t xml:space="preserve">Table 2-8: GMFE for CYP1A2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1.58</w:t>
            </w:r>
          </w:p>
        </w:tc>
      </w:tr>
      <w:tr>
        <w:tc>
          <w:tcPr/>
          <w:p>
            <w:pPr>
              <w:pStyle w:val="Compact"/>
              <w:jc w:val="left"/>
            </w:pPr>
            <w:r>
              <w:t xml:space="preserve">CMAX</w:t>
            </w:r>
          </w:p>
        </w:tc>
        <w:tc>
          <w:tcPr/>
          <w:p>
            <w:pPr>
              <w:pStyle w:val="Compact"/>
              <w:jc w:val="left"/>
            </w:pPr>
            <w:r>
              <w:t xml:space="preserve">1.11</w:t>
            </w:r>
          </w:p>
        </w:tc>
      </w:tr>
    </w:tbl>
    <w:p>
      <w:pPr>
        <w:pStyle w:val="BodyText"/>
      </w:pPr>
      <w:r>
        <w:t xml:space="preserve"> </w:t>
      </w:r>
    </w:p>
    <w:br w:type="page"/>
    <w:p>
      <w:pPr>
        <w:pStyle w:val="BodyText"/>
      </w:pPr>
      <w:bookmarkStart w:id="table-2-9" w:name="table-2-9"/>
      <w:bookmarkEnd w:id="table-2-9"/>
    </w:p>
    <w:p>
      <w:pPr>
        <w:pStyle w:val="BodyText"/>
      </w:pPr>
      <w:r>
        <w:rPr>
          <w:bCs/>
          <w:b/>
        </w:rPr>
        <w:t xml:space="preserve">Table 2-9: Summary table for CYP1A2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75</w:t>
            </w:r>
          </w:p>
        </w:tc>
      </w:tr>
    </w:tbl>
    <w:p>
      <w:pPr>
        <w:pStyle w:val="BodyText"/>
      </w:pPr>
      <w:r>
        <w:t xml:space="preserve"> </w:t>
      </w:r>
    </w:p>
    <w:br w:type="page"/>
    <w:p>
      <w:pPr>
        <w:pStyle w:val="BodyText"/>
      </w:pPr>
      <w:bookmarkStart w:id="table-2-10" w:name="table-2-10"/>
      <w:bookmarkEnd w:id="table-2-10"/>
    </w:p>
    <w:p>
      <w:pPr>
        <w:pStyle w:val="BodyText"/>
      </w:pPr>
      <w:r>
        <w:rPr>
          <w:bCs/>
          <w:b/>
        </w:rPr>
        <w:t xml:space="preserve">Table 2-10: Summary table for CYP1A2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bookmarkEnd w:id="73"/>
    <w:bookmarkStart w:id="86" w:name="mexiletine"/>
    <w:p>
      <w:pPr>
        <w:pStyle w:val="Heading3"/>
      </w:pPr>
      <w:r>
        <w:t xml:space="preserve">Mexiletine</w:t>
      </w:r>
      <w:bookmarkStart w:id="qualification-cyp1a2-ddi-ddi-subunit-26" w:name="qualification-cyp1a2-ddi-ddi-subunit-26"/>
      <w:bookmarkEnd w:id="qualification-cyp1a2-ddi-ddi-subunit-26"/>
    </w:p>
    <w:br w:type="page"/>
    <w:p>
      <w:pPr>
        <w:pStyle w:val="FirstParagraph"/>
      </w:pPr>
      <w:bookmarkStart w:id="figure-2-13" w:name="figure-2-13"/>
      <w:bookmarkEnd w:id="figure-2-13"/>
    </w:p>
    <w:p>
      <w:pPr>
        <w:pStyle w:val="BodyText"/>
      </w:pPr>
      <w:r>
        <w:drawing>
          <wp:inline>
            <wp:extent cx="5969000" cy="4727296"/>
            <wp:effectExtent b="0" l="0" r="0" t="0"/>
            <wp:docPr descr="" title="" id="75" name="Picture"/>
            <a:graphic>
              <a:graphicData uri="http://schemas.openxmlformats.org/drawingml/2006/picture">
                <pic:pic>
                  <pic:nvPicPr>
                    <pic:cNvPr descr="images/011_section_qualification-cyp1a2-ddi/DDIRatio_1_perpetrator_Mexiletine_ddi_ratio_plot_AUC_predictedVsObserved.png" id="76" name="Picture"/>
                    <pic:cNvPicPr>
                      <a:picLocks noChangeArrowheads="1" noChangeAspect="1"/>
                    </pic:cNvPicPr>
                  </pic:nvPicPr>
                  <pic:blipFill>
                    <a:blip r:embed="rId74"/>
                    <a:stretch>
                      <a:fillRect/>
                    </a:stretch>
                  </pic:blipFill>
                  <pic:spPr bwMode="auto">
                    <a:xfrm>
                      <a:off x="0" y="0"/>
                      <a:ext cx="5969000" cy="4727296"/>
                    </a:xfrm>
                    <a:prstGeom prst="rect">
                      <a:avLst/>
                    </a:prstGeom>
                    <a:noFill/>
                    <a:ln w="9525">
                      <a:noFill/>
                      <a:headEnd/>
                      <a:tailEnd/>
                    </a:ln>
                  </pic:spPr>
                </pic:pic>
              </a:graphicData>
            </a:graphic>
          </wp:inline>
        </w:drawing>
      </w:r>
    </w:p>
    <w:p>
      <w:pPr>
        <w:pStyle w:val="BodyText"/>
      </w:pPr>
      <w:r>
        <w:rPr>
          <w:bCs/>
          <w:b/>
        </w:rPr>
        <w:t xml:space="preserve">Figure 2-13: CYP1A2 DDI. Perpetrator: Mexiletine. Predicted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14" w:name="figure-2-14"/>
      <w:bookmarkEnd w:id="figure-2-14"/>
    </w:p>
    <w:p>
      <w:pPr>
        <w:pStyle w:val="BodyText"/>
      </w:pPr>
      <w:r>
        <w:drawing>
          <wp:inline>
            <wp:extent cx="5969000" cy="4727296"/>
            <wp:effectExtent b="0" l="0" r="0" t="0"/>
            <wp:docPr descr="" title="" id="78" name="Picture"/>
            <a:graphic>
              <a:graphicData uri="http://schemas.openxmlformats.org/drawingml/2006/picture">
                <pic:pic>
                  <pic:nvPicPr>
                    <pic:cNvPr descr="images/011_section_qualification-cyp1a2-ddi/DDIRatio_1_perpetrator_Mexiletine_ddi_ratio_plot_AUC_residualsVsObserved.png" id="79" name="Picture"/>
                    <pic:cNvPicPr>
                      <a:picLocks noChangeArrowheads="1" noChangeAspect="1"/>
                    </pic:cNvPicPr>
                  </pic:nvPicPr>
                  <pic:blipFill>
                    <a:blip r:embed="rId77"/>
                    <a:stretch>
                      <a:fillRect/>
                    </a:stretch>
                  </pic:blipFill>
                  <pic:spPr bwMode="auto">
                    <a:xfrm>
                      <a:off x="0" y="0"/>
                      <a:ext cx="5969000" cy="4727296"/>
                    </a:xfrm>
                    <a:prstGeom prst="rect">
                      <a:avLst/>
                    </a:prstGeom>
                    <a:noFill/>
                    <a:ln w="9525">
                      <a:noFill/>
                      <a:headEnd/>
                      <a:tailEnd/>
                    </a:ln>
                  </pic:spPr>
                </pic:pic>
              </a:graphicData>
            </a:graphic>
          </wp:inline>
        </w:drawing>
      </w:r>
    </w:p>
    <w:p>
      <w:pPr>
        <w:pStyle w:val="BodyText"/>
      </w:pPr>
      <w:r>
        <w:rPr>
          <w:bCs/>
          <w:b/>
        </w:rPr>
        <w:t xml:space="preserve">Figure 2-14: CYP1A2 DDI. Perpetrator: Mexiletine. Predicted/Observed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15" w:name="figure-2-15"/>
      <w:bookmarkEnd w:id="figure-2-15"/>
    </w:p>
    <w:p>
      <w:pPr>
        <w:pStyle w:val="BodyText"/>
      </w:pPr>
      <w:r>
        <w:drawing>
          <wp:inline>
            <wp:extent cx="5969000" cy="4727296"/>
            <wp:effectExtent b="0" l="0" r="0" t="0"/>
            <wp:docPr descr="" title="" id="81" name="Picture"/>
            <a:graphic>
              <a:graphicData uri="http://schemas.openxmlformats.org/drawingml/2006/picture">
                <pic:pic>
                  <pic:nvPicPr>
                    <pic:cNvPr descr="images/011_section_qualification-cyp1a2-ddi/DDIRatio_1_perpetrator_Mexiletine_ddi_ratio_plot_CMAX_predictedVsObserved.png" id="82" name="Picture"/>
                    <pic:cNvPicPr>
                      <a:picLocks noChangeArrowheads="1" noChangeAspect="1"/>
                    </pic:cNvPicPr>
                  </pic:nvPicPr>
                  <pic:blipFill>
                    <a:blip r:embed="rId80"/>
                    <a:stretch>
                      <a:fillRect/>
                    </a:stretch>
                  </pic:blipFill>
                  <pic:spPr bwMode="auto">
                    <a:xfrm>
                      <a:off x="0" y="0"/>
                      <a:ext cx="5969000" cy="4727296"/>
                    </a:xfrm>
                    <a:prstGeom prst="rect">
                      <a:avLst/>
                    </a:prstGeom>
                    <a:noFill/>
                    <a:ln w="9525">
                      <a:noFill/>
                      <a:headEnd/>
                      <a:tailEnd/>
                    </a:ln>
                  </pic:spPr>
                </pic:pic>
              </a:graphicData>
            </a:graphic>
          </wp:inline>
        </w:drawing>
      </w:r>
    </w:p>
    <w:p>
      <w:pPr>
        <w:pStyle w:val="BodyText"/>
      </w:pPr>
      <w:r>
        <w:rPr>
          <w:bCs/>
          <w:b/>
        </w:rPr>
        <w:t xml:space="preserve">Figure 2-15: CYP1A2 DDI. Perpetrator: Mexiletine. Predicted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16" w:name="figure-2-16"/>
      <w:bookmarkEnd w:id="figure-2-16"/>
    </w:p>
    <w:p>
      <w:pPr>
        <w:pStyle w:val="BodyText"/>
      </w:pPr>
      <w:r>
        <w:drawing>
          <wp:inline>
            <wp:extent cx="5969000" cy="4727296"/>
            <wp:effectExtent b="0" l="0" r="0" t="0"/>
            <wp:docPr descr="" title="" id="84" name="Picture"/>
            <a:graphic>
              <a:graphicData uri="http://schemas.openxmlformats.org/drawingml/2006/picture">
                <pic:pic>
                  <pic:nvPicPr>
                    <pic:cNvPr descr="images/011_section_qualification-cyp1a2-ddi/DDIRatio_1_perpetrator_Mexiletine_ddi_ratio_plot_CMAX_residualsVsObserved.png" id="85" name="Picture"/>
                    <pic:cNvPicPr>
                      <a:picLocks noChangeArrowheads="1" noChangeAspect="1"/>
                    </pic:cNvPicPr>
                  </pic:nvPicPr>
                  <pic:blipFill>
                    <a:blip r:embed="rId83"/>
                    <a:stretch>
                      <a:fillRect/>
                    </a:stretch>
                  </pic:blipFill>
                  <pic:spPr bwMode="auto">
                    <a:xfrm>
                      <a:off x="0" y="0"/>
                      <a:ext cx="5969000" cy="4727296"/>
                    </a:xfrm>
                    <a:prstGeom prst="rect">
                      <a:avLst/>
                    </a:prstGeom>
                    <a:noFill/>
                    <a:ln w="9525">
                      <a:noFill/>
                      <a:headEnd/>
                      <a:tailEnd/>
                    </a:ln>
                  </pic:spPr>
                </pic:pic>
              </a:graphicData>
            </a:graphic>
          </wp:inline>
        </w:drawing>
      </w:r>
    </w:p>
    <w:p>
      <w:pPr>
        <w:pStyle w:val="BodyText"/>
      </w:pPr>
      <w:r>
        <w:rPr>
          <w:bCs/>
          <w:b/>
        </w:rPr>
        <w:t xml:space="preserve">Figure 2-16: CYP1A2 DDI. Perpetrator: Mexiletine. Predicted/Observed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table-2-11" w:name="table-2-11"/>
      <w:bookmarkEnd w:id="table-2-11"/>
    </w:p>
    <w:p>
      <w:pPr>
        <w:pStyle w:val="BodyText"/>
      </w:pPr>
      <w:r>
        <w:rPr>
          <w:bCs/>
          <w:b/>
        </w:rPr>
        <w:t xml:space="preserve">Table 2-11: GMFE for CYP1A2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1.57</w:t>
            </w:r>
          </w:p>
        </w:tc>
      </w:tr>
      <w:tr>
        <w:tc>
          <w:tcPr/>
          <w:p>
            <w:pPr>
              <w:pStyle w:val="Compact"/>
              <w:jc w:val="left"/>
            </w:pPr>
            <w:r>
              <w:t xml:space="preserve">CMAX</w:t>
            </w:r>
          </w:p>
        </w:tc>
        <w:tc>
          <w:tcPr/>
          <w:p>
            <w:pPr>
              <w:pStyle w:val="Compact"/>
              <w:jc w:val="left"/>
            </w:pPr>
            <w:r>
              <w:t xml:space="preserve">1.59</w:t>
            </w:r>
          </w:p>
        </w:tc>
      </w:tr>
    </w:tbl>
    <w:p>
      <w:pPr>
        <w:pStyle w:val="BodyText"/>
      </w:pPr>
      <w:r>
        <w:t xml:space="preserve"> </w:t>
      </w:r>
    </w:p>
    <w:br w:type="page"/>
    <w:p>
      <w:pPr>
        <w:pStyle w:val="BodyText"/>
      </w:pPr>
      <w:bookmarkStart w:id="table-2-12" w:name="table-2-12"/>
      <w:bookmarkEnd w:id="table-2-12"/>
    </w:p>
    <w:p>
      <w:pPr>
        <w:pStyle w:val="BodyText"/>
      </w:pPr>
      <w:r>
        <w:rPr>
          <w:bCs/>
          <w:b/>
        </w:rPr>
        <w:t xml:space="preserve">Table 2-12: Summary table for CYP1A2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50</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100</w:t>
            </w:r>
          </w:p>
        </w:tc>
      </w:tr>
    </w:tbl>
    <w:p>
      <w:pPr>
        <w:pStyle w:val="BodyText"/>
      </w:pPr>
      <w:r>
        <w:t xml:space="preserve"> </w:t>
      </w:r>
    </w:p>
    <w:br w:type="page"/>
    <w:p>
      <w:pPr>
        <w:pStyle w:val="BodyText"/>
      </w:pPr>
      <w:bookmarkStart w:id="table-2-13" w:name="table-2-13"/>
      <w:bookmarkEnd w:id="table-2-13"/>
    </w:p>
    <w:p>
      <w:pPr>
        <w:pStyle w:val="BodyText"/>
      </w:pPr>
      <w:r>
        <w:rPr>
          <w:bCs/>
          <w:b/>
        </w:rPr>
        <w:t xml:space="preserve">Table 2-13: Summary table for CYP1A2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50</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100</w:t>
            </w:r>
          </w:p>
        </w:tc>
      </w:tr>
    </w:tbl>
    <w:p>
      <w:pPr>
        <w:pStyle w:val="BodyText"/>
      </w:pPr>
      <w:r>
        <w:t xml:space="preserve"> </w:t>
      </w:r>
    </w:p>
    <w:bookmarkEnd w:id="86"/>
    <w:bookmarkEnd w:id="87"/>
    <w:bookmarkStart w:id="127" w:name="victim"/>
    <w:p>
      <w:pPr>
        <w:pStyle w:val="Heading2"/>
      </w:pPr>
      <w:r>
        <w:t xml:space="preserve">Victim</w:t>
      </w:r>
      <w:bookmarkStart w:id="qualification-cyp1a2-ddi-ddi-subunit-34" w:name="qualification-cyp1a2-ddi-ddi-subunit-34"/>
      <w:bookmarkEnd w:id="qualification-cyp1a2-ddi-ddi-subunit-34"/>
    </w:p>
    <w:bookmarkStart w:id="100" w:name="caffeine"/>
    <w:p>
      <w:pPr>
        <w:pStyle w:val="Heading3"/>
      </w:pPr>
      <w:r>
        <w:t xml:space="preserve">Caffeine</w:t>
      </w:r>
      <w:bookmarkStart w:id="qualification-cyp1a2-ddi-ddi-subunit-35" w:name="qualification-cyp1a2-ddi-ddi-subunit-35"/>
      <w:bookmarkEnd w:id="qualification-cyp1a2-ddi-ddi-subunit-35"/>
    </w:p>
    <w:br w:type="page"/>
    <w:p>
      <w:pPr>
        <w:pStyle w:val="FirstParagraph"/>
      </w:pPr>
      <w:bookmarkStart w:id="figure-2-17" w:name="figure-2-17"/>
      <w:bookmarkEnd w:id="figure-2-17"/>
    </w:p>
    <w:p>
      <w:pPr>
        <w:pStyle w:val="BodyText"/>
      </w:pPr>
      <w:r>
        <w:drawing>
          <wp:inline>
            <wp:extent cx="5969000" cy="4624741"/>
            <wp:effectExtent b="0" l="0" r="0" t="0"/>
            <wp:docPr descr="" title="" id="89" name="Picture"/>
            <a:graphic>
              <a:graphicData uri="http://schemas.openxmlformats.org/drawingml/2006/picture">
                <pic:pic>
                  <pic:nvPicPr>
                    <pic:cNvPr descr="images/011_section_qualification-cyp1a2-ddi/DDIRatio_1_victim_Caffeine_ddi_ratio_plot_AUC_predictedVsObserved.png" id="90" name="Picture"/>
                    <pic:cNvPicPr>
                      <a:picLocks noChangeArrowheads="1" noChangeAspect="1"/>
                    </pic:cNvPicPr>
                  </pic:nvPicPr>
                  <pic:blipFill>
                    <a:blip r:embed="rId88"/>
                    <a:stretch>
                      <a:fillRect/>
                    </a:stretch>
                  </pic:blipFill>
                  <pic:spPr bwMode="auto">
                    <a:xfrm>
                      <a:off x="0" y="0"/>
                      <a:ext cx="5969000" cy="4624741"/>
                    </a:xfrm>
                    <a:prstGeom prst="rect">
                      <a:avLst/>
                    </a:prstGeom>
                    <a:noFill/>
                    <a:ln w="9525">
                      <a:noFill/>
                      <a:headEnd/>
                      <a:tailEnd/>
                    </a:ln>
                  </pic:spPr>
                </pic:pic>
              </a:graphicData>
            </a:graphic>
          </wp:inline>
        </w:drawing>
      </w:r>
    </w:p>
    <w:p>
      <w:pPr>
        <w:pStyle w:val="BodyText"/>
      </w:pPr>
      <w:r>
        <w:rPr>
          <w:bCs/>
          <w:b/>
        </w:rPr>
        <w:t xml:space="preserve">Figure 2-17: CYP1A2 DDI. Victim: Caffeine. Predicted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18" w:name="figure-2-18"/>
      <w:bookmarkEnd w:id="figure-2-18"/>
    </w:p>
    <w:p>
      <w:pPr>
        <w:pStyle w:val="BodyText"/>
      </w:pPr>
      <w:r>
        <w:drawing>
          <wp:inline>
            <wp:extent cx="5969000" cy="4624741"/>
            <wp:effectExtent b="0" l="0" r="0" t="0"/>
            <wp:docPr descr="" title="" id="92" name="Picture"/>
            <a:graphic>
              <a:graphicData uri="http://schemas.openxmlformats.org/drawingml/2006/picture">
                <pic:pic>
                  <pic:nvPicPr>
                    <pic:cNvPr descr="images/011_section_qualification-cyp1a2-ddi/DDIRatio_1_victim_Caffeine_ddi_ratio_plot_AUC_residualsVsObserved.png" id="93" name="Picture"/>
                    <pic:cNvPicPr>
                      <a:picLocks noChangeArrowheads="1" noChangeAspect="1"/>
                    </pic:cNvPicPr>
                  </pic:nvPicPr>
                  <pic:blipFill>
                    <a:blip r:embed="rId91"/>
                    <a:stretch>
                      <a:fillRect/>
                    </a:stretch>
                  </pic:blipFill>
                  <pic:spPr bwMode="auto">
                    <a:xfrm>
                      <a:off x="0" y="0"/>
                      <a:ext cx="5969000" cy="4624741"/>
                    </a:xfrm>
                    <a:prstGeom prst="rect">
                      <a:avLst/>
                    </a:prstGeom>
                    <a:noFill/>
                    <a:ln w="9525">
                      <a:noFill/>
                      <a:headEnd/>
                      <a:tailEnd/>
                    </a:ln>
                  </pic:spPr>
                </pic:pic>
              </a:graphicData>
            </a:graphic>
          </wp:inline>
        </w:drawing>
      </w:r>
    </w:p>
    <w:p>
      <w:pPr>
        <w:pStyle w:val="BodyText"/>
      </w:pPr>
      <w:r>
        <w:rPr>
          <w:bCs/>
          <w:b/>
        </w:rPr>
        <w:t xml:space="preserve">Figure 2-18: CYP1A2 DDI. Victim: Caffeine. Predicted/Observed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19" w:name="figure-2-19"/>
      <w:bookmarkEnd w:id="figure-2-19"/>
    </w:p>
    <w:p>
      <w:pPr>
        <w:pStyle w:val="BodyText"/>
      </w:pPr>
      <w:r>
        <w:drawing>
          <wp:inline>
            <wp:extent cx="5969000" cy="4624741"/>
            <wp:effectExtent b="0" l="0" r="0" t="0"/>
            <wp:docPr descr="" title="" id="95" name="Picture"/>
            <a:graphic>
              <a:graphicData uri="http://schemas.openxmlformats.org/drawingml/2006/picture">
                <pic:pic>
                  <pic:nvPicPr>
                    <pic:cNvPr descr="images/011_section_qualification-cyp1a2-ddi/DDIRatio_1_victim_Caffeine_ddi_ratio_plot_CMAX_predictedVsObserved.png" id="96" name="Picture"/>
                    <pic:cNvPicPr>
                      <a:picLocks noChangeArrowheads="1" noChangeAspect="1"/>
                    </pic:cNvPicPr>
                  </pic:nvPicPr>
                  <pic:blipFill>
                    <a:blip r:embed="rId94"/>
                    <a:stretch>
                      <a:fillRect/>
                    </a:stretch>
                  </pic:blipFill>
                  <pic:spPr bwMode="auto">
                    <a:xfrm>
                      <a:off x="0" y="0"/>
                      <a:ext cx="5969000" cy="4624741"/>
                    </a:xfrm>
                    <a:prstGeom prst="rect">
                      <a:avLst/>
                    </a:prstGeom>
                    <a:noFill/>
                    <a:ln w="9525">
                      <a:noFill/>
                      <a:headEnd/>
                      <a:tailEnd/>
                    </a:ln>
                  </pic:spPr>
                </pic:pic>
              </a:graphicData>
            </a:graphic>
          </wp:inline>
        </w:drawing>
      </w:r>
    </w:p>
    <w:p>
      <w:pPr>
        <w:pStyle w:val="BodyText"/>
      </w:pPr>
      <w:r>
        <w:rPr>
          <w:bCs/>
          <w:b/>
        </w:rPr>
        <w:t xml:space="preserve">Figure 2-19: CYP1A2 DDI. Victim: Caffeine. Predicted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20" w:name="figure-2-20"/>
      <w:bookmarkEnd w:id="figure-2-20"/>
    </w:p>
    <w:p>
      <w:pPr>
        <w:pStyle w:val="BodyText"/>
      </w:pPr>
      <w:r>
        <w:drawing>
          <wp:inline>
            <wp:extent cx="5969000" cy="4624741"/>
            <wp:effectExtent b="0" l="0" r="0" t="0"/>
            <wp:docPr descr="" title="" id="98" name="Picture"/>
            <a:graphic>
              <a:graphicData uri="http://schemas.openxmlformats.org/drawingml/2006/picture">
                <pic:pic>
                  <pic:nvPicPr>
                    <pic:cNvPr descr="images/011_section_qualification-cyp1a2-ddi/DDIRatio_1_victim_Caffeine_ddi_ratio_plot_CMAX_residualsVsObserved.png" id="99" name="Picture"/>
                    <pic:cNvPicPr>
                      <a:picLocks noChangeArrowheads="1" noChangeAspect="1"/>
                    </pic:cNvPicPr>
                  </pic:nvPicPr>
                  <pic:blipFill>
                    <a:blip r:embed="rId97"/>
                    <a:stretch>
                      <a:fillRect/>
                    </a:stretch>
                  </pic:blipFill>
                  <pic:spPr bwMode="auto">
                    <a:xfrm>
                      <a:off x="0" y="0"/>
                      <a:ext cx="5969000" cy="4624741"/>
                    </a:xfrm>
                    <a:prstGeom prst="rect">
                      <a:avLst/>
                    </a:prstGeom>
                    <a:noFill/>
                    <a:ln w="9525">
                      <a:noFill/>
                      <a:headEnd/>
                      <a:tailEnd/>
                    </a:ln>
                  </pic:spPr>
                </pic:pic>
              </a:graphicData>
            </a:graphic>
          </wp:inline>
        </w:drawing>
      </w:r>
    </w:p>
    <w:p>
      <w:pPr>
        <w:pStyle w:val="BodyText"/>
      </w:pPr>
      <w:r>
        <w:rPr>
          <w:bCs/>
          <w:b/>
        </w:rPr>
        <w:t xml:space="preserve">Figure 2-20: CYP1A2 DDI. Victim: Caffeine. Predicted/Observed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table-2-14" w:name="table-2-14"/>
      <w:bookmarkEnd w:id="table-2-14"/>
    </w:p>
    <w:p>
      <w:pPr>
        <w:pStyle w:val="BodyText"/>
      </w:pPr>
      <w:r>
        <w:rPr>
          <w:bCs/>
          <w:b/>
        </w:rPr>
        <w:t xml:space="preserve">Table 2-14: GMFE for CYP1A2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1.80</w:t>
            </w:r>
          </w:p>
        </w:tc>
      </w:tr>
      <w:tr>
        <w:tc>
          <w:tcPr/>
          <w:p>
            <w:pPr>
              <w:pStyle w:val="Compact"/>
              <w:jc w:val="left"/>
            </w:pPr>
            <w:r>
              <w:t xml:space="preserve">CMAX</w:t>
            </w:r>
          </w:p>
        </w:tc>
        <w:tc>
          <w:tcPr/>
          <w:p>
            <w:pPr>
              <w:pStyle w:val="Compact"/>
              <w:jc w:val="left"/>
            </w:pPr>
            <w:r>
              <w:t xml:space="preserve">1.20</w:t>
            </w:r>
          </w:p>
        </w:tc>
      </w:tr>
    </w:tbl>
    <w:p>
      <w:pPr>
        <w:pStyle w:val="BodyText"/>
      </w:pPr>
      <w:r>
        <w:t xml:space="preserve"> </w:t>
      </w:r>
    </w:p>
    <w:br w:type="page"/>
    <w:p>
      <w:pPr>
        <w:pStyle w:val="BodyText"/>
      </w:pPr>
      <w:bookmarkStart w:id="table-2-15" w:name="table-2-15"/>
      <w:bookmarkEnd w:id="table-2-15"/>
    </w:p>
    <w:p>
      <w:pPr>
        <w:pStyle w:val="BodyText"/>
      </w:pPr>
      <w:r>
        <w:rPr>
          <w:bCs/>
          <w:b/>
        </w:rPr>
        <w:t xml:space="preserve">Table 2-15: Summary table for CYP1A2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50</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75</w:t>
            </w:r>
          </w:p>
        </w:tc>
      </w:tr>
    </w:tbl>
    <w:p>
      <w:pPr>
        <w:pStyle w:val="BodyText"/>
      </w:pPr>
      <w:r>
        <w:t xml:space="preserve"> </w:t>
      </w:r>
    </w:p>
    <w:br w:type="page"/>
    <w:p>
      <w:pPr>
        <w:pStyle w:val="BodyText"/>
      </w:pPr>
      <w:bookmarkStart w:id="table-2-16" w:name="table-2-16"/>
      <w:bookmarkEnd w:id="table-2-16"/>
    </w:p>
    <w:p>
      <w:pPr>
        <w:pStyle w:val="BodyText"/>
      </w:pPr>
      <w:r>
        <w:rPr>
          <w:bCs/>
          <w:b/>
        </w:rPr>
        <w:t xml:space="preserve">Table 2-16: Summary table for CYP1A2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bookmarkEnd w:id="100"/>
    <w:bookmarkStart w:id="113" w:name="mexiletine-1"/>
    <w:p>
      <w:pPr>
        <w:pStyle w:val="Heading3"/>
      </w:pPr>
      <w:r>
        <w:t xml:space="preserve">Mexiletine</w:t>
      </w:r>
      <w:bookmarkStart w:id="qualification-cyp1a2-ddi-ddi-subunit-43" w:name="qualification-cyp1a2-ddi-ddi-subunit-43"/>
      <w:bookmarkEnd w:id="qualification-cyp1a2-ddi-ddi-subunit-43"/>
    </w:p>
    <w:br w:type="page"/>
    <w:p>
      <w:pPr>
        <w:pStyle w:val="FirstParagraph"/>
      </w:pPr>
      <w:bookmarkStart w:id="figure-2-21" w:name="figure-2-21"/>
      <w:bookmarkEnd w:id="figure-2-21"/>
    </w:p>
    <w:p>
      <w:pPr>
        <w:pStyle w:val="BodyText"/>
      </w:pPr>
      <w:r>
        <w:drawing>
          <wp:inline>
            <wp:extent cx="5969000" cy="4660045"/>
            <wp:effectExtent b="0" l="0" r="0" t="0"/>
            <wp:docPr descr="" title="" id="102" name="Picture"/>
            <a:graphic>
              <a:graphicData uri="http://schemas.openxmlformats.org/drawingml/2006/picture">
                <pic:pic>
                  <pic:nvPicPr>
                    <pic:cNvPr descr="images/011_section_qualification-cyp1a2-ddi/DDIRatio_1_victim_Mexiletine_ddi_ratio_plot_AUC_predictedVsObserved.png" id="103" name="Picture"/>
                    <pic:cNvPicPr>
                      <a:picLocks noChangeArrowheads="1" noChangeAspect="1"/>
                    </pic:cNvPicPr>
                  </pic:nvPicPr>
                  <pic:blipFill>
                    <a:blip r:embed="rId101"/>
                    <a:stretch>
                      <a:fillRect/>
                    </a:stretch>
                  </pic:blipFill>
                  <pic:spPr bwMode="auto">
                    <a:xfrm>
                      <a:off x="0" y="0"/>
                      <a:ext cx="5969000" cy="4660045"/>
                    </a:xfrm>
                    <a:prstGeom prst="rect">
                      <a:avLst/>
                    </a:prstGeom>
                    <a:noFill/>
                    <a:ln w="9525">
                      <a:noFill/>
                      <a:headEnd/>
                      <a:tailEnd/>
                    </a:ln>
                  </pic:spPr>
                </pic:pic>
              </a:graphicData>
            </a:graphic>
          </wp:inline>
        </w:drawing>
      </w:r>
    </w:p>
    <w:p>
      <w:pPr>
        <w:pStyle w:val="BodyText"/>
      </w:pPr>
      <w:r>
        <w:rPr>
          <w:bCs/>
          <w:b/>
        </w:rPr>
        <w:t xml:space="preserve">Figure 2-21: CYP1A2 DDI. Victim: Mexiletine. Predicted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22" w:name="figure-2-22"/>
      <w:bookmarkEnd w:id="figure-2-22"/>
    </w:p>
    <w:p>
      <w:pPr>
        <w:pStyle w:val="BodyText"/>
      </w:pPr>
      <w:r>
        <w:drawing>
          <wp:inline>
            <wp:extent cx="5969000" cy="4660045"/>
            <wp:effectExtent b="0" l="0" r="0" t="0"/>
            <wp:docPr descr="" title="" id="105" name="Picture"/>
            <a:graphic>
              <a:graphicData uri="http://schemas.openxmlformats.org/drawingml/2006/picture">
                <pic:pic>
                  <pic:nvPicPr>
                    <pic:cNvPr descr="images/011_section_qualification-cyp1a2-ddi/DDIRatio_1_victim_Mexiletine_ddi_ratio_plot_AUC_residualsVsObserved.png" id="106" name="Picture"/>
                    <pic:cNvPicPr>
                      <a:picLocks noChangeArrowheads="1" noChangeAspect="1"/>
                    </pic:cNvPicPr>
                  </pic:nvPicPr>
                  <pic:blipFill>
                    <a:blip r:embed="rId104"/>
                    <a:stretch>
                      <a:fillRect/>
                    </a:stretch>
                  </pic:blipFill>
                  <pic:spPr bwMode="auto">
                    <a:xfrm>
                      <a:off x="0" y="0"/>
                      <a:ext cx="5969000" cy="4660045"/>
                    </a:xfrm>
                    <a:prstGeom prst="rect">
                      <a:avLst/>
                    </a:prstGeom>
                    <a:noFill/>
                    <a:ln w="9525">
                      <a:noFill/>
                      <a:headEnd/>
                      <a:tailEnd/>
                    </a:ln>
                  </pic:spPr>
                </pic:pic>
              </a:graphicData>
            </a:graphic>
          </wp:inline>
        </w:drawing>
      </w:r>
    </w:p>
    <w:p>
      <w:pPr>
        <w:pStyle w:val="BodyText"/>
      </w:pPr>
      <w:r>
        <w:rPr>
          <w:bCs/>
          <w:b/>
        </w:rPr>
        <w:t xml:space="preserve">Figure 2-22: CYP1A2 DDI. Victim: Mexiletine. Predicted/Observed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23" w:name="figure-2-23"/>
      <w:bookmarkEnd w:id="figure-2-23"/>
    </w:p>
    <w:p>
      <w:pPr>
        <w:pStyle w:val="BodyText"/>
      </w:pPr>
      <w:r>
        <w:drawing>
          <wp:inline>
            <wp:extent cx="5969000" cy="4660045"/>
            <wp:effectExtent b="0" l="0" r="0" t="0"/>
            <wp:docPr descr="" title="" id="108" name="Picture"/>
            <a:graphic>
              <a:graphicData uri="http://schemas.openxmlformats.org/drawingml/2006/picture">
                <pic:pic>
                  <pic:nvPicPr>
                    <pic:cNvPr descr="images/011_section_qualification-cyp1a2-ddi/DDIRatio_1_victim_Mexiletine_ddi_ratio_plot_CMAX_predictedVsObserved.png" id="109" name="Picture"/>
                    <pic:cNvPicPr>
                      <a:picLocks noChangeArrowheads="1" noChangeAspect="1"/>
                    </pic:cNvPicPr>
                  </pic:nvPicPr>
                  <pic:blipFill>
                    <a:blip r:embed="rId107"/>
                    <a:stretch>
                      <a:fillRect/>
                    </a:stretch>
                  </pic:blipFill>
                  <pic:spPr bwMode="auto">
                    <a:xfrm>
                      <a:off x="0" y="0"/>
                      <a:ext cx="5969000" cy="4660045"/>
                    </a:xfrm>
                    <a:prstGeom prst="rect">
                      <a:avLst/>
                    </a:prstGeom>
                    <a:noFill/>
                    <a:ln w="9525">
                      <a:noFill/>
                      <a:headEnd/>
                      <a:tailEnd/>
                    </a:ln>
                  </pic:spPr>
                </pic:pic>
              </a:graphicData>
            </a:graphic>
          </wp:inline>
        </w:drawing>
      </w:r>
    </w:p>
    <w:p>
      <w:pPr>
        <w:pStyle w:val="BodyText"/>
      </w:pPr>
      <w:r>
        <w:rPr>
          <w:bCs/>
          <w:b/>
        </w:rPr>
        <w:t xml:space="preserve">Figure 2-23: CYP1A2 DDI. Victim: Mexiletine. Predicted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24" w:name="figure-2-24"/>
      <w:bookmarkEnd w:id="figure-2-24"/>
    </w:p>
    <w:p>
      <w:pPr>
        <w:pStyle w:val="BodyText"/>
      </w:pPr>
      <w:r>
        <w:drawing>
          <wp:inline>
            <wp:extent cx="5969000" cy="4660045"/>
            <wp:effectExtent b="0" l="0" r="0" t="0"/>
            <wp:docPr descr="" title="" id="111" name="Picture"/>
            <a:graphic>
              <a:graphicData uri="http://schemas.openxmlformats.org/drawingml/2006/picture">
                <pic:pic>
                  <pic:nvPicPr>
                    <pic:cNvPr descr="images/011_section_qualification-cyp1a2-ddi/DDIRatio_1_victim_Mexiletine_ddi_ratio_plot_CMAX_residualsVsObserved.png" id="112" name="Picture"/>
                    <pic:cNvPicPr>
                      <a:picLocks noChangeArrowheads="1" noChangeAspect="1"/>
                    </pic:cNvPicPr>
                  </pic:nvPicPr>
                  <pic:blipFill>
                    <a:blip r:embed="rId110"/>
                    <a:stretch>
                      <a:fillRect/>
                    </a:stretch>
                  </pic:blipFill>
                  <pic:spPr bwMode="auto">
                    <a:xfrm>
                      <a:off x="0" y="0"/>
                      <a:ext cx="5969000" cy="4660045"/>
                    </a:xfrm>
                    <a:prstGeom prst="rect">
                      <a:avLst/>
                    </a:prstGeom>
                    <a:noFill/>
                    <a:ln w="9525">
                      <a:noFill/>
                      <a:headEnd/>
                      <a:tailEnd/>
                    </a:ln>
                  </pic:spPr>
                </pic:pic>
              </a:graphicData>
            </a:graphic>
          </wp:inline>
        </w:drawing>
      </w:r>
    </w:p>
    <w:p>
      <w:pPr>
        <w:pStyle w:val="BodyText"/>
      </w:pPr>
      <w:r>
        <w:rPr>
          <w:bCs/>
          <w:b/>
        </w:rPr>
        <w:t xml:space="preserve">Figure 2-24: CYP1A2 DDI. Victim: Mexiletine. Predicted/Observed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table-2-17" w:name="table-2-17"/>
      <w:bookmarkEnd w:id="table-2-17"/>
    </w:p>
    <w:p>
      <w:pPr>
        <w:pStyle w:val="BodyText"/>
      </w:pPr>
      <w:r>
        <w:rPr>
          <w:bCs/>
          <w:b/>
        </w:rPr>
        <w:t xml:space="preserve">Table 2-17: GMFE for CYP1A2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1.30</w:t>
            </w:r>
          </w:p>
        </w:tc>
      </w:tr>
      <w:tr>
        <w:tc>
          <w:tcPr/>
          <w:p>
            <w:pPr>
              <w:pStyle w:val="Compact"/>
              <w:jc w:val="left"/>
            </w:pPr>
            <w:r>
              <w:t xml:space="preserve">CMAX</w:t>
            </w:r>
          </w:p>
        </w:tc>
        <w:tc>
          <w:tcPr/>
          <w:p>
            <w:pPr>
              <w:pStyle w:val="Compact"/>
              <w:jc w:val="left"/>
            </w:pPr>
            <w:r>
              <w:t xml:space="preserve">1.07</w:t>
            </w:r>
          </w:p>
        </w:tc>
      </w:tr>
    </w:tbl>
    <w:p>
      <w:pPr>
        <w:pStyle w:val="BodyText"/>
      </w:pPr>
      <w:r>
        <w:t xml:space="preserve"> </w:t>
      </w:r>
    </w:p>
    <w:br w:type="page"/>
    <w:p>
      <w:pPr>
        <w:pStyle w:val="BodyText"/>
      </w:pPr>
      <w:bookmarkStart w:id="table-2-18" w:name="table-2-18"/>
      <w:bookmarkEnd w:id="table-2-18"/>
    </w:p>
    <w:p>
      <w:pPr>
        <w:pStyle w:val="BodyText"/>
      </w:pPr>
      <w:r>
        <w:rPr>
          <w:bCs/>
          <w:b/>
        </w:rPr>
        <w:t xml:space="preserve">Table 2-18: Summary table for CYP1A2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br w:type="page"/>
    <w:p>
      <w:pPr>
        <w:pStyle w:val="BodyText"/>
      </w:pPr>
      <w:bookmarkStart w:id="table-2-19" w:name="table-2-19"/>
      <w:bookmarkEnd w:id="table-2-19"/>
    </w:p>
    <w:p>
      <w:pPr>
        <w:pStyle w:val="BodyText"/>
      </w:pPr>
      <w:r>
        <w:rPr>
          <w:bCs/>
          <w:b/>
        </w:rPr>
        <w:t xml:space="preserve">Table 2-19: Summary table for CYP1A2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bookmarkEnd w:id="113"/>
    <w:bookmarkStart w:id="126" w:name="tizanidine"/>
    <w:p>
      <w:pPr>
        <w:pStyle w:val="Heading3"/>
      </w:pPr>
      <w:r>
        <w:t xml:space="preserve">Tizanidine</w:t>
      </w:r>
      <w:bookmarkStart w:id="qualification-cyp1a2-ddi-ddi-subunit-51" w:name="qualification-cyp1a2-ddi-ddi-subunit-51"/>
      <w:bookmarkEnd w:id="qualification-cyp1a2-ddi-ddi-subunit-51"/>
    </w:p>
    <w:br w:type="page"/>
    <w:p>
      <w:pPr>
        <w:pStyle w:val="FirstParagraph"/>
      </w:pPr>
      <w:bookmarkStart w:id="figure-2-25" w:name="figure-2-25"/>
      <w:bookmarkEnd w:id="figure-2-25"/>
    </w:p>
    <w:p>
      <w:pPr>
        <w:pStyle w:val="BodyText"/>
      </w:pPr>
      <w:r>
        <w:drawing>
          <wp:inline>
            <wp:extent cx="5969000" cy="4575894"/>
            <wp:effectExtent b="0" l="0" r="0" t="0"/>
            <wp:docPr descr="" title="" id="115" name="Picture"/>
            <a:graphic>
              <a:graphicData uri="http://schemas.openxmlformats.org/drawingml/2006/picture">
                <pic:pic>
                  <pic:nvPicPr>
                    <pic:cNvPr descr="images/011_section_qualification-cyp1a2-ddi/DDIRatio_1_victim_Tizanidine_ddi_ratio_plot_AUC_predictedVsObserved.png" id="116" name="Picture"/>
                    <pic:cNvPicPr>
                      <a:picLocks noChangeArrowheads="1" noChangeAspect="1"/>
                    </pic:cNvPicPr>
                  </pic:nvPicPr>
                  <pic:blipFill>
                    <a:blip r:embed="rId114"/>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2-25: CYP1A2 DDI. Victim: Tizanidine. Predicted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26" w:name="figure-2-26"/>
      <w:bookmarkEnd w:id="figure-2-26"/>
    </w:p>
    <w:p>
      <w:pPr>
        <w:pStyle w:val="BodyText"/>
      </w:pPr>
      <w:r>
        <w:drawing>
          <wp:inline>
            <wp:extent cx="5969000" cy="4575894"/>
            <wp:effectExtent b="0" l="0" r="0" t="0"/>
            <wp:docPr descr="" title="" id="118" name="Picture"/>
            <a:graphic>
              <a:graphicData uri="http://schemas.openxmlformats.org/drawingml/2006/picture">
                <pic:pic>
                  <pic:nvPicPr>
                    <pic:cNvPr descr="images/011_section_qualification-cyp1a2-ddi/DDIRatio_1_victim_Tizanidine_ddi_ratio_plot_AUC_residualsVsObserved.png" id="119" name="Picture"/>
                    <pic:cNvPicPr>
                      <a:picLocks noChangeArrowheads="1" noChangeAspect="1"/>
                    </pic:cNvPicPr>
                  </pic:nvPicPr>
                  <pic:blipFill>
                    <a:blip r:embed="rId117"/>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2-26: CYP1A2 DDI. Victim: Tizanidine. Predicted/Observed vs. Observed AUC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27" w:name="figure-2-27"/>
      <w:bookmarkEnd w:id="figure-2-27"/>
    </w:p>
    <w:p>
      <w:pPr>
        <w:pStyle w:val="BodyText"/>
      </w:pPr>
      <w:r>
        <w:drawing>
          <wp:inline>
            <wp:extent cx="5969000" cy="4575894"/>
            <wp:effectExtent b="0" l="0" r="0" t="0"/>
            <wp:docPr descr="" title="" id="121" name="Picture"/>
            <a:graphic>
              <a:graphicData uri="http://schemas.openxmlformats.org/drawingml/2006/picture">
                <pic:pic>
                  <pic:nvPicPr>
                    <pic:cNvPr descr="images/011_section_qualification-cyp1a2-ddi/DDIRatio_1_victim_Tizanidine_ddi_ratio_plot_CMAX_predictedVsObserved.png" id="122" name="Picture"/>
                    <pic:cNvPicPr>
                      <a:picLocks noChangeArrowheads="1" noChangeAspect="1"/>
                    </pic:cNvPicPr>
                  </pic:nvPicPr>
                  <pic:blipFill>
                    <a:blip r:embed="rId120"/>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2-27: CYP1A2 DDI. Victim: Tizanidine. Predicted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figure-2-28" w:name="figure-2-28"/>
      <w:bookmarkEnd w:id="figure-2-28"/>
    </w:p>
    <w:p>
      <w:pPr>
        <w:pStyle w:val="BodyText"/>
      </w:pPr>
      <w:r>
        <w:drawing>
          <wp:inline>
            <wp:extent cx="5969000" cy="4575894"/>
            <wp:effectExtent b="0" l="0" r="0" t="0"/>
            <wp:docPr descr="" title="" id="124" name="Picture"/>
            <a:graphic>
              <a:graphicData uri="http://schemas.openxmlformats.org/drawingml/2006/picture">
                <pic:pic>
                  <pic:nvPicPr>
                    <pic:cNvPr descr="images/011_section_qualification-cyp1a2-ddi/DDIRatio_1_victim_Tizanidine_ddi_ratio_plot_CMAX_residualsVsObserved.png" id="125" name="Picture"/>
                    <pic:cNvPicPr>
                      <a:picLocks noChangeArrowheads="1" noChangeAspect="1"/>
                    </pic:cNvPicPr>
                  </pic:nvPicPr>
                  <pic:blipFill>
                    <a:blip r:embed="rId123"/>
                    <a:stretch>
                      <a:fillRect/>
                    </a:stretch>
                  </pic:blipFill>
                  <pic:spPr bwMode="auto">
                    <a:xfrm>
                      <a:off x="0" y="0"/>
                      <a:ext cx="5969000" cy="4575894"/>
                    </a:xfrm>
                    <a:prstGeom prst="rect">
                      <a:avLst/>
                    </a:prstGeom>
                    <a:noFill/>
                    <a:ln w="9525">
                      <a:noFill/>
                      <a:headEnd/>
                      <a:tailEnd/>
                    </a:ln>
                  </pic:spPr>
                </pic:pic>
              </a:graphicData>
            </a:graphic>
          </wp:inline>
        </w:drawing>
      </w:r>
    </w:p>
    <w:p>
      <w:pPr>
        <w:pStyle w:val="BodyText"/>
      </w:pPr>
      <w:r>
        <w:rPr>
          <w:bCs/>
          <w:b/>
        </w:rPr>
        <w:t xml:space="preserve">Figure 2-28: CYP1A2 DDI. Victim: Tizanidine. Predicted/Observed vs. Observed CMAX Ratio. (δ = 1 in Guest</w:t>
      </w:r>
      <w:r>
        <w:rPr>
          <w:bCs/>
          <w:b/>
        </w:rPr>
        <w:t xml:space="preserve"> </w:t>
      </w:r>
      <w:r>
        <w:rPr>
          <w:iCs/>
          <w:i/>
          <w:bCs/>
          <w:b/>
        </w:rPr>
        <w:t xml:space="preserve">et al.</w:t>
      </w:r>
      <w:r>
        <w:rPr>
          <w:bCs/>
          <w:b/>
        </w:rPr>
        <w:t xml:space="preserve"> </w:t>
      </w:r>
      <w:r>
        <w:rPr>
          <w:bCs/>
          <w:b/>
        </w:rPr>
        <w:t xml:space="preserve">formula)</w:t>
      </w:r>
    </w:p>
    <w:p>
      <w:pPr>
        <w:pStyle w:val="BodyText"/>
      </w:pPr>
      <w:r>
        <w:t xml:space="preserve"> </w:t>
      </w:r>
    </w:p>
    <w:br w:type="page"/>
    <w:p>
      <w:pPr>
        <w:pStyle w:val="BodyText"/>
      </w:pPr>
      <w:bookmarkStart w:id="table-2-20" w:name="table-2-20"/>
      <w:bookmarkEnd w:id="table-2-20"/>
    </w:p>
    <w:p>
      <w:pPr>
        <w:pStyle w:val="BodyText"/>
      </w:pPr>
      <w:r>
        <w:rPr>
          <w:bCs/>
          <w:b/>
        </w:rPr>
        <w:t xml:space="preserve">Table 2-20: GMFE for CYP1A2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1.24</w:t>
            </w:r>
          </w:p>
        </w:tc>
      </w:tr>
      <w:tr>
        <w:tc>
          <w:tcPr/>
          <w:p>
            <w:pPr>
              <w:pStyle w:val="Compact"/>
              <w:jc w:val="left"/>
            </w:pPr>
            <w:r>
              <w:t xml:space="preserve">CMAX</w:t>
            </w:r>
          </w:p>
        </w:tc>
        <w:tc>
          <w:tcPr/>
          <w:p>
            <w:pPr>
              <w:pStyle w:val="Compact"/>
              <w:jc w:val="left"/>
            </w:pPr>
            <w:r>
              <w:t xml:space="preserve">1.30</w:t>
            </w:r>
          </w:p>
        </w:tc>
      </w:tr>
    </w:tbl>
    <w:p>
      <w:pPr>
        <w:pStyle w:val="BodyText"/>
      </w:pPr>
      <w:r>
        <w:t xml:space="preserve"> </w:t>
      </w:r>
    </w:p>
    <w:br w:type="page"/>
    <w:p>
      <w:pPr>
        <w:pStyle w:val="BodyText"/>
      </w:pPr>
      <w:bookmarkStart w:id="table-2-21" w:name="table-2-21"/>
      <w:bookmarkEnd w:id="table-2-21"/>
    </w:p>
    <w:p>
      <w:pPr>
        <w:pStyle w:val="BodyText"/>
      </w:pPr>
      <w:r>
        <w:rPr>
          <w:bCs/>
          <w:b/>
        </w:rPr>
        <w:t xml:space="preserve">Table 2-21: Summary table for CYP1A2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w:t>
            </w:r>
          </w:p>
        </w:tc>
      </w:tr>
    </w:tbl>
    <w:p>
      <w:pPr>
        <w:pStyle w:val="BodyText"/>
      </w:pPr>
      <w:r>
        <w:t xml:space="preserve"> </w:t>
      </w:r>
    </w:p>
    <w:br w:type="page"/>
    <w:p>
      <w:pPr>
        <w:pStyle w:val="BodyText"/>
      </w:pPr>
      <w:bookmarkStart w:id="table-2-22" w:name="table-2-22"/>
      <w:bookmarkEnd w:id="table-2-22"/>
    </w:p>
    <w:p>
      <w:pPr>
        <w:pStyle w:val="BodyText"/>
      </w:pPr>
      <w:r>
        <w:rPr>
          <w:bCs/>
          <w:b/>
        </w:rPr>
        <w:t xml:space="preserve">Table 2-22: Summary table for CYP1A2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w:t>
            </w:r>
          </w:p>
        </w:tc>
      </w:tr>
    </w:tbl>
    <w:p>
      <w:pPr>
        <w:pStyle w:val="BodyText"/>
      </w:pPr>
      <w:r>
        <w:t xml:space="preserve"> </w:t>
      </w:r>
    </w:p>
    <w:bookmarkEnd w:id="126"/>
    <w:bookmarkEnd w:id="127"/>
    <w:bookmarkEnd w:id="128"/>
    <w:bookmarkStart w:id="156" w:name="concentration-time-profiles"/>
    <w:p>
      <w:pPr>
        <w:pStyle w:val="Heading1"/>
      </w:pPr>
      <w:r>
        <w:t xml:space="preserve">Concentration-Time Profiles</w:t>
      </w:r>
      <w:bookmarkStart w:id="ct-profiles" w:name="ct-profiles"/>
      <w:bookmarkEnd w:id="ct-profiles"/>
    </w:p>
    <w:p>
      <w:pPr>
        <w:pStyle w:val="FirstParagraph"/>
      </w:pPr>
      <w:r>
        <w:t xml:space="preserve">The following section shows concentration time profiles of the victim drugs of the simulated DDI studies in comparison to observed data.</w:t>
      </w:r>
    </w:p>
    <w:bookmarkStart w:id="132" w:name="tizanidine---ethinylestradiol-ddi-1"/>
    <w:p>
      <w:pPr>
        <w:pStyle w:val="Heading2"/>
      </w:pPr>
      <w:r>
        <w:t xml:space="preserve">Tizanidine - Ethinylestradiol DDI</w:t>
      </w:r>
      <w:bookmarkStart w:id="ct-profiles-tizanidine-ethinylestradiol-ddi" w:name="ct-profiles-tizanidine-ethinylestradiol-ddi"/>
      <w:bookmarkEnd w:id="ct-profiles-tizanidine-ethinylestradiol-ddi"/>
    </w:p>
    <w:br w:type="page"/>
    <w:p>
      <w:pPr>
        <w:pStyle w:val="FirstParagraph"/>
      </w:pPr>
      <w:bookmarkStart w:id="figure-3-1" w:name="figure-3-1"/>
      <w:bookmarkEnd w:id="figure-3-1"/>
    </w:p>
    <w:p>
      <w:pPr>
        <w:pStyle w:val="BodyText"/>
      </w:pPr>
      <w:r>
        <w:drawing>
          <wp:inline>
            <wp:extent cx="5969000" cy="4682083"/>
            <wp:effectExtent b="0" l="0" r="0" t="0"/>
            <wp:docPr descr="" title="" id="130" name="Picture"/>
            <a:graphic>
              <a:graphicData uri="http://schemas.openxmlformats.org/drawingml/2006/picture">
                <pic:pic>
                  <pic:nvPicPr>
                    <pic:cNvPr descr="images/012_section_ct-profiles/013_section_ct-profiles-tizanidine-ethinylestradiol-ddi/comparison_time_profile_Granfors_2005__Tizanidine_4_mg_po__1.png" id="131" name="Picture"/>
                    <pic:cNvPicPr>
                      <a:picLocks noChangeArrowheads="1" noChangeAspect="1"/>
                    </pic:cNvPicPr>
                  </pic:nvPicPr>
                  <pic:blipFill>
                    <a:blip r:embed="rId129"/>
                    <a:stretch>
                      <a:fillRect/>
                    </a:stretch>
                  </pic:blipFill>
                  <pic:spPr bwMode="auto">
                    <a:xfrm>
                      <a:off x="0" y="0"/>
                      <a:ext cx="5969000" cy="4682083"/>
                    </a:xfrm>
                    <a:prstGeom prst="rect">
                      <a:avLst/>
                    </a:prstGeom>
                    <a:noFill/>
                    <a:ln w="9525">
                      <a:noFill/>
                      <a:headEnd/>
                      <a:tailEnd/>
                    </a:ln>
                  </pic:spPr>
                </pic:pic>
              </a:graphicData>
            </a:graphic>
          </wp:inline>
        </w:drawing>
      </w:r>
    </w:p>
    <w:p>
      <w:pPr>
        <w:pStyle w:val="BodyText"/>
      </w:pPr>
      <w:r>
        <w:rPr>
          <w:bCs/>
          <w:b/>
        </w:rPr>
        <w:t xml:space="preserve">Figure 3-1: Granfors 2005 (Tizanidine 4 mg po)</w:t>
      </w:r>
    </w:p>
    <w:p>
      <w:pPr>
        <w:pStyle w:val="BodyText"/>
      </w:pPr>
      <w:r>
        <w:t xml:space="preserve"> </w:t>
      </w:r>
    </w:p>
    <w:bookmarkEnd w:id="132"/>
    <w:bookmarkStart w:id="139" w:name="caffeine---fluvoxamine-ddi-1"/>
    <w:p>
      <w:pPr>
        <w:pStyle w:val="Heading2"/>
      </w:pPr>
      <w:r>
        <w:t xml:space="preserve">Caffeine - Fluvoxamine DDI</w:t>
      </w:r>
      <w:bookmarkStart w:id="ct-profiles-caffeine-fluvoxamine-ddi" w:name="ct-profiles-caffeine-fluvoxamine-ddi"/>
      <w:bookmarkEnd w:id="ct-profiles-caffeine-fluvoxamine-ddi"/>
    </w:p>
    <w:br w:type="page"/>
    <w:p>
      <w:pPr>
        <w:pStyle w:val="FirstParagraph"/>
      </w:pPr>
      <w:bookmarkStart w:id="figure-3-2" w:name="figure-3-2"/>
      <w:bookmarkEnd w:id="figure-3-2"/>
    </w:p>
    <w:p>
      <w:pPr>
        <w:pStyle w:val="BodyText"/>
      </w:pPr>
      <w:r>
        <w:drawing>
          <wp:inline>
            <wp:extent cx="5969000" cy="4682083"/>
            <wp:effectExtent b="0" l="0" r="0" t="0"/>
            <wp:docPr descr="" title="" id="134" name="Picture"/>
            <a:graphic>
              <a:graphicData uri="http://schemas.openxmlformats.org/drawingml/2006/picture">
                <pic:pic>
                  <pic:nvPicPr>
                    <pic:cNvPr descr="images/012_section_ct-profiles/014_section_ct-profiles-caffeine-fluvoxamine-ddi/comparison_time_profile_Jeppesen_1996__Caffeine_200_mg_po__2.png" id="135" name="Picture"/>
                    <pic:cNvPicPr>
                      <a:picLocks noChangeArrowheads="1" noChangeAspect="1"/>
                    </pic:cNvPicPr>
                  </pic:nvPicPr>
                  <pic:blipFill>
                    <a:blip r:embed="rId133"/>
                    <a:stretch>
                      <a:fillRect/>
                    </a:stretch>
                  </pic:blipFill>
                  <pic:spPr bwMode="auto">
                    <a:xfrm>
                      <a:off x="0" y="0"/>
                      <a:ext cx="5969000" cy="4682083"/>
                    </a:xfrm>
                    <a:prstGeom prst="rect">
                      <a:avLst/>
                    </a:prstGeom>
                    <a:noFill/>
                    <a:ln w="9525">
                      <a:noFill/>
                      <a:headEnd/>
                      <a:tailEnd/>
                    </a:ln>
                  </pic:spPr>
                </pic:pic>
              </a:graphicData>
            </a:graphic>
          </wp:inline>
        </w:drawing>
      </w:r>
    </w:p>
    <w:p>
      <w:pPr>
        <w:pStyle w:val="BodyText"/>
      </w:pPr>
      <w:r>
        <w:rPr>
          <w:bCs/>
          <w:b/>
        </w:rPr>
        <w:t xml:space="preserve">Figure 3-2: Jeppesen 1996 (Caffeine 200 mg po)</w:t>
      </w:r>
    </w:p>
    <w:p>
      <w:pPr>
        <w:pStyle w:val="BodyText"/>
      </w:pPr>
      <w:r>
        <w:t xml:space="preserve"> </w:t>
      </w:r>
    </w:p>
    <w:br w:type="page"/>
    <w:p>
      <w:pPr>
        <w:pStyle w:val="BodyText"/>
      </w:pPr>
      <w:bookmarkStart w:id="figure-3-3" w:name="figure-3-3"/>
      <w:bookmarkEnd w:id="figure-3-3"/>
    </w:p>
    <w:p>
      <w:pPr>
        <w:pStyle w:val="BodyText"/>
      </w:pPr>
      <w:r>
        <w:drawing>
          <wp:inline>
            <wp:extent cx="5969000" cy="4682083"/>
            <wp:effectExtent b="0" l="0" r="0" t="0"/>
            <wp:docPr descr="" title="" id="137" name="Picture"/>
            <a:graphic>
              <a:graphicData uri="http://schemas.openxmlformats.org/drawingml/2006/picture">
                <pic:pic>
                  <pic:nvPicPr>
                    <pic:cNvPr descr="images/012_section_ct-profiles/014_section_ct-profiles-caffeine-fluvoxamine-ddi/comparison_time_profile_Culm_Merdeck_2005__Caffeine_250_mg_po__3.png" id="138" name="Picture"/>
                    <pic:cNvPicPr>
                      <a:picLocks noChangeArrowheads="1" noChangeAspect="1"/>
                    </pic:cNvPicPr>
                  </pic:nvPicPr>
                  <pic:blipFill>
                    <a:blip r:embed="rId136"/>
                    <a:stretch>
                      <a:fillRect/>
                    </a:stretch>
                  </pic:blipFill>
                  <pic:spPr bwMode="auto">
                    <a:xfrm>
                      <a:off x="0" y="0"/>
                      <a:ext cx="5969000" cy="4682083"/>
                    </a:xfrm>
                    <a:prstGeom prst="rect">
                      <a:avLst/>
                    </a:prstGeom>
                    <a:noFill/>
                    <a:ln w="9525">
                      <a:noFill/>
                      <a:headEnd/>
                      <a:tailEnd/>
                    </a:ln>
                  </pic:spPr>
                </pic:pic>
              </a:graphicData>
            </a:graphic>
          </wp:inline>
        </w:drawing>
      </w:r>
    </w:p>
    <w:p>
      <w:pPr>
        <w:pStyle w:val="BodyText"/>
      </w:pPr>
      <w:r>
        <w:rPr>
          <w:bCs/>
          <w:b/>
        </w:rPr>
        <w:t xml:space="preserve">Figure 3-3: Culm-Merdeck 2005 (Caffeine 250 mg po)</w:t>
      </w:r>
    </w:p>
    <w:p>
      <w:pPr>
        <w:pStyle w:val="BodyText"/>
      </w:pPr>
      <w:r>
        <w:t xml:space="preserve"> </w:t>
      </w:r>
    </w:p>
    <w:bookmarkEnd w:id="139"/>
    <w:bookmarkStart w:id="143" w:name="tizanidine---fluvoxamine-ddi-1"/>
    <w:p>
      <w:pPr>
        <w:pStyle w:val="Heading2"/>
      </w:pPr>
      <w:r>
        <w:t xml:space="preserve">Tizanidine - Fluvoxamine DDI</w:t>
      </w:r>
      <w:bookmarkStart w:id="ct-profiles-tizanidine-fluvoxamine-ddi" w:name="ct-profiles-tizanidine-fluvoxamine-ddi"/>
      <w:bookmarkEnd w:id="ct-profiles-tizanidine-fluvoxamine-ddi"/>
    </w:p>
    <w:br w:type="page"/>
    <w:p>
      <w:pPr>
        <w:pStyle w:val="FirstParagraph"/>
      </w:pPr>
      <w:bookmarkStart w:id="figure-3-4" w:name="figure-3-4"/>
      <w:bookmarkEnd w:id="figure-3-4"/>
    </w:p>
    <w:p>
      <w:pPr>
        <w:pStyle w:val="BodyText"/>
      </w:pPr>
      <w:r>
        <w:drawing>
          <wp:inline>
            <wp:extent cx="5969000" cy="4682083"/>
            <wp:effectExtent b="0" l="0" r="0" t="0"/>
            <wp:docPr descr="" title="" id="141" name="Picture"/>
            <a:graphic>
              <a:graphicData uri="http://schemas.openxmlformats.org/drawingml/2006/picture">
                <pic:pic>
                  <pic:nvPicPr>
                    <pic:cNvPr descr="images/012_section_ct-profiles/015_section_ct-profiles-tizanidine-fluvoxamine-ddi/comparison_time_profile_Granfors_2004__Tizanidine_4_mg_po__4.png" id="142" name="Picture"/>
                    <pic:cNvPicPr>
                      <a:picLocks noChangeArrowheads="1" noChangeAspect="1"/>
                    </pic:cNvPicPr>
                  </pic:nvPicPr>
                  <pic:blipFill>
                    <a:blip r:embed="rId140"/>
                    <a:stretch>
                      <a:fillRect/>
                    </a:stretch>
                  </pic:blipFill>
                  <pic:spPr bwMode="auto">
                    <a:xfrm>
                      <a:off x="0" y="0"/>
                      <a:ext cx="5969000" cy="4682083"/>
                    </a:xfrm>
                    <a:prstGeom prst="rect">
                      <a:avLst/>
                    </a:prstGeom>
                    <a:noFill/>
                    <a:ln w="9525">
                      <a:noFill/>
                      <a:headEnd/>
                      <a:tailEnd/>
                    </a:ln>
                  </pic:spPr>
                </pic:pic>
              </a:graphicData>
            </a:graphic>
          </wp:inline>
        </w:drawing>
      </w:r>
    </w:p>
    <w:p>
      <w:pPr>
        <w:pStyle w:val="BodyText"/>
      </w:pPr>
      <w:r>
        <w:rPr>
          <w:bCs/>
          <w:b/>
        </w:rPr>
        <w:t xml:space="preserve">Figure 3-4: Granfors 2004 (Tizanidine 4 mg po)</w:t>
      </w:r>
    </w:p>
    <w:p>
      <w:pPr>
        <w:pStyle w:val="BodyText"/>
      </w:pPr>
      <w:r>
        <w:t xml:space="preserve"> </w:t>
      </w:r>
    </w:p>
    <w:bookmarkEnd w:id="143"/>
    <w:bookmarkStart w:id="147" w:name="tizanidine---mexiletine-ddi-1"/>
    <w:p>
      <w:pPr>
        <w:pStyle w:val="Heading2"/>
      </w:pPr>
      <w:r>
        <w:t xml:space="preserve">Tizanidine - Mexiletine DDI</w:t>
      </w:r>
      <w:bookmarkStart w:id="ct-profiles-tizanidine-mexiletine-ddi" w:name="ct-profiles-tizanidine-mexiletine-ddi"/>
      <w:bookmarkEnd w:id="ct-profiles-tizanidine-mexiletine-ddi"/>
    </w:p>
    <w:br w:type="page"/>
    <w:p>
      <w:pPr>
        <w:pStyle w:val="FirstParagraph"/>
      </w:pPr>
      <w:bookmarkStart w:id="figure-3-5" w:name="figure-3-5"/>
      <w:bookmarkEnd w:id="figure-3-5"/>
    </w:p>
    <w:p>
      <w:pPr>
        <w:pStyle w:val="BodyText"/>
      </w:pPr>
      <w:r>
        <w:drawing>
          <wp:inline>
            <wp:extent cx="5969000" cy="4682083"/>
            <wp:effectExtent b="0" l="0" r="0" t="0"/>
            <wp:docPr descr="" title="" id="145" name="Picture"/>
            <a:graphic>
              <a:graphicData uri="http://schemas.openxmlformats.org/drawingml/2006/picture">
                <pic:pic>
                  <pic:nvPicPr>
                    <pic:cNvPr descr="images/012_section_ct-profiles/016_section_ct-profiles-tizanidine-mexiletine-ddi/comparison_time_profile_Momo_2010__Tizanidine_2_mg_po__5.png" id="146" name="Picture"/>
                    <pic:cNvPicPr>
                      <a:picLocks noChangeArrowheads="1" noChangeAspect="1"/>
                    </pic:cNvPicPr>
                  </pic:nvPicPr>
                  <pic:blipFill>
                    <a:blip r:embed="rId144"/>
                    <a:stretch>
                      <a:fillRect/>
                    </a:stretch>
                  </pic:blipFill>
                  <pic:spPr bwMode="auto">
                    <a:xfrm>
                      <a:off x="0" y="0"/>
                      <a:ext cx="5969000" cy="4682083"/>
                    </a:xfrm>
                    <a:prstGeom prst="rect">
                      <a:avLst/>
                    </a:prstGeom>
                    <a:noFill/>
                    <a:ln w="9525">
                      <a:noFill/>
                      <a:headEnd/>
                      <a:tailEnd/>
                    </a:ln>
                  </pic:spPr>
                </pic:pic>
              </a:graphicData>
            </a:graphic>
          </wp:inline>
        </w:drawing>
      </w:r>
    </w:p>
    <w:p>
      <w:pPr>
        <w:pStyle w:val="BodyText"/>
      </w:pPr>
      <w:r>
        <w:rPr>
          <w:bCs/>
          <w:b/>
        </w:rPr>
        <w:t xml:space="preserve">Figure 3-5: Momo 2010 (Tizanidine 2 mg po)</w:t>
      </w:r>
    </w:p>
    <w:p>
      <w:pPr>
        <w:pStyle w:val="BodyText"/>
      </w:pPr>
      <w:r>
        <w:t xml:space="preserve"> </w:t>
      </w:r>
    </w:p>
    <w:bookmarkEnd w:id="147"/>
    <w:bookmarkStart w:id="151" w:name="caffeine---mexiletine-ddi-1"/>
    <w:p>
      <w:pPr>
        <w:pStyle w:val="Heading2"/>
      </w:pPr>
      <w:r>
        <w:t xml:space="preserve">Caffeine - Mexiletine DDI</w:t>
      </w:r>
      <w:bookmarkStart w:id="ct-profiles-caffeine-mexiletine-ddi" w:name="ct-profiles-caffeine-mexiletine-ddi"/>
      <w:bookmarkEnd w:id="ct-profiles-caffeine-mexiletine-ddi"/>
    </w:p>
    <w:br w:type="page"/>
    <w:p>
      <w:pPr>
        <w:pStyle w:val="FirstParagraph"/>
      </w:pPr>
      <w:bookmarkStart w:id="figure-3-6" w:name="figure-3-6"/>
      <w:bookmarkEnd w:id="figure-3-6"/>
    </w:p>
    <w:p>
      <w:pPr>
        <w:pStyle w:val="BodyText"/>
      </w:pPr>
      <w:r>
        <w:drawing>
          <wp:inline>
            <wp:extent cx="5969000" cy="4682083"/>
            <wp:effectExtent b="0" l="0" r="0" t="0"/>
            <wp:docPr descr="" title="" id="149" name="Picture"/>
            <a:graphic>
              <a:graphicData uri="http://schemas.openxmlformats.org/drawingml/2006/picture">
                <pic:pic>
                  <pic:nvPicPr>
                    <pic:cNvPr descr="images/012_section_ct-profiles/017_section_ct-profiles-caffeine-mexiletine-ddi/comparison_time_profile_Joeres_1987__Caffeine_336_mg_po__6.png" id="150" name="Picture"/>
                    <pic:cNvPicPr>
                      <a:picLocks noChangeArrowheads="1" noChangeAspect="1"/>
                    </pic:cNvPicPr>
                  </pic:nvPicPr>
                  <pic:blipFill>
                    <a:blip r:embed="rId148"/>
                    <a:stretch>
                      <a:fillRect/>
                    </a:stretch>
                  </pic:blipFill>
                  <pic:spPr bwMode="auto">
                    <a:xfrm>
                      <a:off x="0" y="0"/>
                      <a:ext cx="5969000" cy="4682083"/>
                    </a:xfrm>
                    <a:prstGeom prst="rect">
                      <a:avLst/>
                    </a:prstGeom>
                    <a:noFill/>
                    <a:ln w="9525">
                      <a:noFill/>
                      <a:headEnd/>
                      <a:tailEnd/>
                    </a:ln>
                  </pic:spPr>
                </pic:pic>
              </a:graphicData>
            </a:graphic>
          </wp:inline>
        </w:drawing>
      </w:r>
    </w:p>
    <w:p>
      <w:pPr>
        <w:pStyle w:val="BodyText"/>
      </w:pPr>
      <w:r>
        <w:rPr>
          <w:bCs/>
          <w:b/>
        </w:rPr>
        <w:t xml:space="preserve">Figure 3-6: Joeres 1987 (Caffeine 336 mg po)</w:t>
      </w:r>
    </w:p>
    <w:p>
      <w:pPr>
        <w:pStyle w:val="BodyText"/>
      </w:pPr>
      <w:r>
        <w:t xml:space="preserve"> </w:t>
      </w:r>
    </w:p>
    <w:bookmarkEnd w:id="151"/>
    <w:bookmarkStart w:id="155" w:name="mexiletine---fluvoxamine-ddi-1"/>
    <w:p>
      <w:pPr>
        <w:pStyle w:val="Heading2"/>
      </w:pPr>
      <w:r>
        <w:t xml:space="preserve">Mexiletine - Fluvoxamine DDI</w:t>
      </w:r>
      <w:bookmarkStart w:id="ct-profiles-mexiletine-fluvoxamine-ddi" w:name="ct-profiles-mexiletine-fluvoxamine-ddi"/>
      <w:bookmarkEnd w:id="ct-profiles-mexiletine-fluvoxamine-ddi"/>
    </w:p>
    <w:br w:type="page"/>
    <w:p>
      <w:pPr>
        <w:pStyle w:val="FirstParagraph"/>
      </w:pPr>
      <w:bookmarkStart w:id="figure-3-7" w:name="figure-3-7"/>
      <w:bookmarkEnd w:id="figure-3-7"/>
    </w:p>
    <w:p>
      <w:pPr>
        <w:pStyle w:val="BodyText"/>
      </w:pPr>
      <w:r>
        <w:drawing>
          <wp:inline>
            <wp:extent cx="5969000" cy="4682083"/>
            <wp:effectExtent b="0" l="0" r="0" t="0"/>
            <wp:docPr descr="" title="" id="153" name="Picture"/>
            <a:graphic>
              <a:graphicData uri="http://schemas.openxmlformats.org/drawingml/2006/picture">
                <pic:pic>
                  <pic:nvPicPr>
                    <pic:cNvPr descr="images/012_section_ct-profiles/018_section_ct-profiles-mexiletine-fluvoxamine-ddi/comparison_time_profile_Kusumoto_2001__Mexiletine_166_62_mg_po__7.png" id="154" name="Picture"/>
                    <pic:cNvPicPr>
                      <a:picLocks noChangeArrowheads="1" noChangeAspect="1"/>
                    </pic:cNvPicPr>
                  </pic:nvPicPr>
                  <pic:blipFill>
                    <a:blip r:embed="rId152"/>
                    <a:stretch>
                      <a:fillRect/>
                    </a:stretch>
                  </pic:blipFill>
                  <pic:spPr bwMode="auto">
                    <a:xfrm>
                      <a:off x="0" y="0"/>
                      <a:ext cx="5969000" cy="4682083"/>
                    </a:xfrm>
                    <a:prstGeom prst="rect">
                      <a:avLst/>
                    </a:prstGeom>
                    <a:noFill/>
                    <a:ln w="9525">
                      <a:noFill/>
                      <a:headEnd/>
                      <a:tailEnd/>
                    </a:ln>
                  </pic:spPr>
                </pic:pic>
              </a:graphicData>
            </a:graphic>
          </wp:inline>
        </w:drawing>
      </w:r>
    </w:p>
    <w:p>
      <w:pPr>
        <w:pStyle w:val="BodyText"/>
      </w:pPr>
      <w:r>
        <w:rPr>
          <w:bCs/>
          <w:b/>
        </w:rPr>
        <w:t xml:space="preserve">Figure 3-7: Kusumoto 2001 (Mexiletine 166.62 mg po)</w:t>
      </w:r>
    </w:p>
    <w:p>
      <w:pPr>
        <w:pStyle w:val="BodyText"/>
      </w:pPr>
      <w:r>
        <w:t xml:space="preserve"> </w:t>
      </w:r>
    </w:p>
    <w:bookmarkEnd w:id="155"/>
    <w:bookmarkEnd w:id="156"/>
    <w:bookmarkStart w:id="157" w:name="conclusion"/>
    <w:p>
      <w:pPr>
        <w:pStyle w:val="Heading1"/>
      </w:pPr>
      <w:r>
        <w:t xml:space="preserve">Conclusion</w:t>
      </w:r>
      <w:bookmarkStart w:id="conclusion" w:name="conclusion"/>
      <w:bookmarkEnd w:id="conclusion"/>
    </w:p>
    <w:p>
      <w:pPr>
        <w:pStyle w:val="FirstParagraph"/>
      </w:pPr>
      <w:r>
        <w:t xml:space="preserve">The predicted perpetrator/victim drug concentration-time profiles, DDI AUC and Cmax ratios confirmed that the developed PBPK models are well suited to characterize the CYP1A2 DDI network over the full range of reported DDI studies. The same Ki values could be used by the moderate CYP1A2 inhibitors EE (0.48 μM) and mexiletine (0.28 μM) with regards to all tested substrates (caffeine and tizanidine). For the strong inhibition of CYP1A2 by fluvoxamine, the same Ki value (2.97 nM) could be used for both caffeine and mexiletine as substrate. In contrast, for tizanidine the Ki (0.9 nM) needed to be refitted to capture the data.</w:t>
      </w:r>
    </w:p>
    <w:p>
      <w:pPr>
        <w:pStyle w:val="BodyText"/>
      </w:pPr>
      <w:r>
        <w:rPr>
          <w:bCs/>
          <w:b/>
        </w:rPr>
        <w:t xml:space="preserve">Fluvoxamine</w:t>
      </w:r>
    </w:p>
    <w:p>
      <w:pPr>
        <w:numPr>
          <w:ilvl w:val="0"/>
          <w:numId w:val="1009"/>
        </w:numPr>
        <w:pStyle w:val="Compact"/>
      </w:pPr>
      <w:r>
        <w:t xml:space="preserve">CYP1A2 inhibition:</w:t>
      </w:r>
    </w:p>
    <w:p>
      <w:pPr>
        <w:numPr>
          <w:ilvl w:val="1"/>
          <w:numId w:val="1010"/>
        </w:numPr>
        <w:pStyle w:val="Compact"/>
      </w:pPr>
      <w:r>
        <w:t xml:space="preserve">DDI simulations with caffeine, tizanidine, and mexiletine demonstrate an excellent prediction (ratio pred/obs = around 1 and within 2-fold) of the inhibitory potential of fluvoxamine on CYP1A2.</w:t>
      </w:r>
    </w:p>
    <w:p>
      <w:pPr>
        <w:pStyle w:val="FirstParagraph"/>
      </w:pPr>
      <w:r>
        <w:rPr>
          <w:bCs/>
          <w:b/>
        </w:rPr>
        <w:t xml:space="preserve">Tizanidine</w:t>
      </w:r>
    </w:p>
    <w:p>
      <w:pPr>
        <w:numPr>
          <w:ilvl w:val="0"/>
          <w:numId w:val="1011"/>
        </w:numPr>
      </w:pPr>
      <w:r>
        <w:t xml:space="preserve">Substrate:</w:t>
      </w:r>
    </w:p>
    <w:p>
      <w:pPr>
        <w:numPr>
          <w:ilvl w:val="1"/>
          <w:numId w:val="1012"/>
        </w:numPr>
        <w:pStyle w:val="Compact"/>
      </w:pPr>
      <w:r>
        <w:t xml:space="preserve">DDI simulations with fluvoxamine as inhibitor of tizanidine demonstrated a good prediction of tizanidine levels (pred/obs AUCR and pred/obs CmaxR within 2-fold) when using an optimized value of fluvoxamine Ki.</w:t>
      </w:r>
    </w:p>
    <w:p>
      <w:pPr>
        <w:numPr>
          <w:ilvl w:val="1"/>
          <w:numId w:val="1012"/>
        </w:numPr>
        <w:pStyle w:val="Compact"/>
      </w:pPr>
      <w:r>
        <w:t xml:space="preserve">DDI simulations with mexiletine as inhibitor of tizanidine demonstrated an underprediction of tizanidine levels but were within 2-fold of observed ratios. Tizanidine is underpredicted both with and without mexiletine, probably due to an un-modelled food effect</w:t>
      </w:r>
    </w:p>
    <w:p>
      <w:pPr>
        <w:numPr>
          <w:ilvl w:val="1"/>
          <w:numId w:val="1012"/>
        </w:numPr>
        <w:pStyle w:val="Compact"/>
      </w:pPr>
      <w:r>
        <w:t xml:space="preserve">DDI predictions with ethinylestradiol (EE) using a TDI mechanism was necessary to describe the observed interaction with tizanidine. DDI simulations with ethinylestradiol demonstrated a good prediction of tizanidine levels when using TDI.</w:t>
      </w:r>
    </w:p>
    <w:p>
      <w:pPr>
        <w:pStyle w:val="FirstParagraph"/>
      </w:pPr>
      <w:r>
        <w:rPr>
          <w:bCs/>
          <w:b/>
        </w:rPr>
        <w:t xml:space="preserve">Mexiletine</w:t>
      </w:r>
    </w:p>
    <w:p>
      <w:pPr>
        <w:numPr>
          <w:ilvl w:val="0"/>
          <w:numId w:val="1013"/>
        </w:numPr>
        <w:pStyle w:val="Compact"/>
      </w:pPr>
      <w:r>
        <w:t xml:space="preserve">Perpetrator:</w:t>
      </w:r>
    </w:p>
    <w:p>
      <w:pPr>
        <w:numPr>
          <w:ilvl w:val="1"/>
          <w:numId w:val="1014"/>
        </w:numPr>
        <w:pStyle w:val="Compact"/>
      </w:pPr>
      <w:r>
        <w:t xml:space="preserve">DDI simulations with mexiletine as inhibitor of caffeine demonstrated an underprediction of caffeine levels but were within 2-fold of observed ratios.</w:t>
      </w:r>
    </w:p>
    <w:p>
      <w:pPr>
        <w:numPr>
          <w:ilvl w:val="1"/>
          <w:numId w:val="1014"/>
        </w:numPr>
        <w:pStyle w:val="Compact"/>
      </w:pPr>
      <w:r>
        <w:t xml:space="preserve">DDI simulations with mexiletine as inhibitor of tizanidine demonstrated an underprediction of tizanidine levels but were within 2-fold of observed ratios.</w:t>
      </w:r>
    </w:p>
    <w:p>
      <w:pPr>
        <w:numPr>
          <w:ilvl w:val="1"/>
          <w:numId w:val="1014"/>
        </w:numPr>
        <w:pStyle w:val="Compact"/>
      </w:pPr>
      <w:r>
        <w:t xml:space="preserve">Overall, DDI predictions with mexiletine as an inhibitor tend to lead to underprediction of both AUCR and CmaxR but were within 2-fold of observed ratios.</w:t>
      </w:r>
    </w:p>
    <w:p>
      <w:pPr>
        <w:numPr>
          <w:ilvl w:val="0"/>
          <w:numId w:val="1013"/>
        </w:numPr>
        <w:pStyle w:val="Compact"/>
      </w:pPr>
      <w:r>
        <w:t xml:space="preserve">Substrate:</w:t>
      </w:r>
    </w:p>
    <w:p>
      <w:pPr>
        <w:numPr>
          <w:ilvl w:val="1"/>
          <w:numId w:val="1015"/>
        </w:numPr>
        <w:pStyle w:val="Compact"/>
      </w:pPr>
      <w:r>
        <w:t xml:space="preserve">DDI simulations with fluvoxamine as inhibitor of mexiletine demonstrated an excellent prediction of mexiletine levels.</w:t>
      </w:r>
    </w:p>
    <w:p>
      <w:pPr>
        <w:pStyle w:val="FirstParagraph"/>
      </w:pPr>
      <w:r>
        <w:rPr>
          <w:bCs/>
          <w:b/>
        </w:rPr>
        <w:t xml:space="preserve">Ethinylestradiol</w:t>
      </w:r>
    </w:p>
    <w:p>
      <w:pPr>
        <w:numPr>
          <w:ilvl w:val="0"/>
          <w:numId w:val="1016"/>
        </w:numPr>
      </w:pPr>
      <w:r>
        <w:t xml:space="preserve">A TDI mechanism on CYP1A2 was introduced to describe tizanidine DDI study data.</w:t>
      </w:r>
    </w:p>
    <w:p>
      <w:pPr>
        <w:numPr>
          <w:ilvl w:val="0"/>
          <w:numId w:val="1016"/>
        </w:numPr>
      </w:pPr>
      <w:r>
        <w:t xml:space="preserve">Perpetrator:</w:t>
      </w:r>
    </w:p>
    <w:p>
      <w:pPr>
        <w:numPr>
          <w:ilvl w:val="1"/>
          <w:numId w:val="1017"/>
        </w:numPr>
        <w:pStyle w:val="Compact"/>
      </w:pPr>
      <w:r>
        <w:t xml:space="preserve">DDI simulations with EE as inhibitor of caffeine demonstrated a good prediction of caffeine levels (pred/obs AUCR and pred/obs CmaxR within 2-fold).</w:t>
      </w:r>
    </w:p>
    <w:p>
      <w:pPr>
        <w:numPr>
          <w:ilvl w:val="1"/>
          <w:numId w:val="1017"/>
        </w:numPr>
        <w:pStyle w:val="Compact"/>
      </w:pPr>
      <w:r>
        <w:t xml:space="preserve">DDI simulations with EE as inhibitor of tizanidine demonstrated a good prediction of tizanidine levels (pred/obs AUCR and pred/obs CmaxR within 2-fold).</w:t>
      </w:r>
    </w:p>
    <w:bookmarkEnd w:id="157"/>
    <w:bookmarkStart w:id="158" w:name="references"/>
    <w:p>
      <w:pPr>
        <w:pStyle w:val="Heading1"/>
      </w:pPr>
      <w:r>
        <w:t xml:space="preserve">References</w:t>
      </w:r>
      <w:bookmarkStart w:id="main-references" w:name="main-references"/>
      <w:bookmarkEnd w:id="main-references"/>
    </w:p>
    <w:p>
      <w:pPr>
        <w:pStyle w:val="FirstParagraph"/>
      </w:pPr>
      <w:r>
        <w:rPr>
          <w:bCs/>
          <w:b/>
        </w:rPr>
        <w:t xml:space="preserve">Balogh 1995</w:t>
      </w:r>
      <w:r>
        <w:t xml:space="preserve"> </w:t>
      </w:r>
      <w:r>
        <w:t xml:space="preserve">Balogh A, Boerner A, Kuhnz W, Klinger G, Vollanth R, Henschel L. Influence of ethinylestradiol-containing combination oral contraceptives with gestodene or levonorgestrel on caffeine elimination.</w:t>
      </w:r>
      <w:r>
        <w:t xml:space="preserve"> </w:t>
      </w:r>
      <w:r>
        <w:rPr>
          <w:iCs/>
          <w:i/>
        </w:rPr>
        <w:t xml:space="preserve">Eur J Clin Pharmacol</w:t>
      </w:r>
      <w:r>
        <w:t xml:space="preserve">. 1995;48(2):161-166.</w:t>
      </w:r>
    </w:p>
    <w:p>
      <w:pPr>
        <w:pStyle w:val="BodyText"/>
      </w:pPr>
      <w:r>
        <w:rPr>
          <w:bCs/>
          <w:b/>
        </w:rPr>
        <w:t xml:space="preserve">Caffeine quantities, FDA</w:t>
      </w:r>
      <w:r>
        <w:t xml:space="preserve"> </w:t>
      </w:r>
      <w:r>
        <w:t xml:space="preserve">Website: https://www.fda.gov/consumers/consumer-updates/spilling-beans-how-much-caffeine-too-much</w:t>
      </w:r>
    </w:p>
    <w:p>
      <w:pPr>
        <w:pStyle w:val="BodyText"/>
      </w:pPr>
      <w:r>
        <w:rPr>
          <w:bCs/>
          <w:b/>
        </w:rPr>
        <w:t xml:space="preserve">Culm-Merdek 2005</w:t>
      </w:r>
      <w:r>
        <w:t xml:space="preserve"> </w:t>
      </w:r>
      <w:r>
        <w:t xml:space="preserve">Culm-Merdek KE, Von Moltke LL, Harmatz JS, Greenblatt DJ. Fluvoxamine impairs single-dose caffeine clearance without altering caffeine pharmacodynamics. Br J Clin Pharmacol. 2005;60(5):486-493.</w:t>
      </w:r>
    </w:p>
    <w:p>
      <w:pPr>
        <w:pStyle w:val="BodyText"/>
      </w:pPr>
      <w:r>
        <w:rPr>
          <w:bCs/>
          <w:b/>
        </w:rPr>
        <w:t xml:space="preserve">FDA</w:t>
      </w:r>
      <w:r>
        <w:t xml:space="preserve"> </w:t>
      </w:r>
      <w:r>
        <w:t xml:space="preserve">U.S. Food and Drug Administration. Drug development and drug interactions: table of substrates, inhibitors and inducers. Website: https://www.fda.gov/drugs/drug-interactions-labeling/drug-development-and-drug-interactions-table-substrates-inhibitors-and-inducers (2020). Accessed 06 May 2022.</w:t>
      </w:r>
    </w:p>
    <w:p>
      <w:pPr>
        <w:pStyle w:val="BodyText"/>
      </w:pPr>
      <w:r>
        <w:rPr>
          <w:bCs/>
          <w:b/>
        </w:rPr>
        <w:t xml:space="preserve">Goldstein 2001</w:t>
      </w:r>
      <w:r>
        <w:t xml:space="preserve"> </w:t>
      </w:r>
      <w:r>
        <w:t xml:space="preserve">Goldstein JA., J. A. (2001). Clinical relevance of genetic polymorphisms in the human CYP2C subfamily.</w:t>
      </w:r>
      <w:r>
        <w:t xml:space="preserve"> </w:t>
      </w:r>
      <w:r>
        <w:rPr>
          <w:iCs/>
          <w:i/>
        </w:rPr>
        <w:t xml:space="preserve">Br J Clin Pharmacol</w:t>
      </w:r>
      <w:r>
        <w:t xml:space="preserve">. 2001;British journal of clinical pharmacology, 52(4):), 349-355.</w:t>
      </w:r>
    </w:p>
    <w:p>
      <w:pPr>
        <w:pStyle w:val="BodyText"/>
      </w:pPr>
      <w:r>
        <w:rPr>
          <w:bCs/>
          <w:b/>
        </w:rPr>
        <w:t xml:space="preserve">Granfors 2004</w:t>
      </w:r>
      <w:r>
        <w:t xml:space="preserve"> </w:t>
      </w:r>
      <w:r>
        <w:t xml:space="preserve">Granfors M, Backman JT, Neuvonen M. Fluvoxamine drastically increases concentrations and effects of tizanidine: a potentially hazardous interaction.</w:t>
      </w:r>
      <w:r>
        <w:t xml:space="preserve"> </w:t>
      </w:r>
      <w:r>
        <w:rPr>
          <w:iCs/>
          <w:i/>
        </w:rPr>
        <w:t xml:space="preserve">Clinical Pharmacology &amp; Therapeutics</w:t>
      </w:r>
      <w:r>
        <w:t xml:space="preserve">. 2004 Apr;75(4):331–41.</w:t>
      </w:r>
    </w:p>
    <w:p>
      <w:pPr>
        <w:pStyle w:val="BodyText"/>
      </w:pPr>
      <w:r>
        <w:rPr>
          <w:bCs/>
          <w:b/>
        </w:rPr>
        <w:t xml:space="preserve">Granfors 2005</w:t>
      </w:r>
      <w:r>
        <w:t xml:space="preserve"> </w:t>
      </w:r>
      <w:r>
        <w:t xml:space="preserve">Granfors MT, Backman JT, Laitila J, Neuvonen PJ. Oral contraceptives containing ethinyl estradiol and gestodene markedly increase plasma concentrations and effects of tizanidine by inhibiting cytochrome P450 1A2.</w:t>
      </w:r>
      <w:r>
        <w:t xml:space="preserve"> </w:t>
      </w:r>
      <w:r>
        <w:rPr>
          <w:iCs/>
          <w:i/>
        </w:rPr>
        <w:t xml:space="preserve">Clin Pharmacol Ther</w:t>
      </w:r>
      <w:r>
        <w:t xml:space="preserve">. 2005;78(4):400-411.</w:t>
      </w:r>
    </w:p>
    <w:p>
      <w:pPr>
        <w:pStyle w:val="BodyText"/>
      </w:pPr>
      <w:r>
        <w:rPr>
          <w:bCs/>
          <w:b/>
        </w:rPr>
        <w:t xml:space="preserve">Guest 2011</w:t>
      </w:r>
      <w:r>
        <w:t xml:space="preserve"> </w:t>
      </w:r>
      <w:r>
        <w:t xml:space="preserve">Guest EJ, Aarons L, Houston JB, Rostami-Hodjegan A, Galetin A. Critique of the two-fold measure of prediction success for ratios: application for the assessment of drug-drug interactions. Drug Metab Dispos. 2011 Feb;39(2):170-3.</w:t>
      </w:r>
    </w:p>
    <w:p>
      <w:pPr>
        <w:pStyle w:val="BodyText"/>
      </w:pPr>
      <w:r>
        <w:rPr>
          <w:bCs/>
          <w:b/>
        </w:rPr>
        <w:t xml:space="preserve">Iga 2016</w:t>
      </w:r>
      <w:r>
        <w:t xml:space="preserve"> </w:t>
      </w:r>
      <w:r>
        <w:t xml:space="preserve">Iga K. Dynamic and Static Simulations of Fluvoxamine-Perpetrated Drug-Drug Interactions Using Multiple Cytochrome P450 Inhibition Modeling, and Determination of Perpetrator-Specific CYP Isoform Inhibition Constants and Fractional CYP Isoform Contributions to Vic.</w:t>
      </w:r>
      <w:r>
        <w:t xml:space="preserve"> </w:t>
      </w:r>
      <w:r>
        <w:rPr>
          <w:iCs/>
          <w:i/>
        </w:rPr>
        <w:t xml:space="preserve">J Pharm Sci</w:t>
      </w:r>
      <w:r>
        <w:t xml:space="preserve">.Victim Clearance. Journal of Pharmaceutical Sciences. 2016 Mar;105(3):1307-1317–17.</w:t>
      </w:r>
    </w:p>
    <w:p>
      <w:pPr>
        <w:pStyle w:val="BodyText"/>
      </w:pPr>
      <w:r>
        <w:rPr>
          <w:bCs/>
          <w:b/>
        </w:rPr>
        <w:t xml:space="preserve">Jeppesen 1996</w:t>
      </w:r>
      <w:r>
        <w:t xml:space="preserve"> </w:t>
      </w:r>
      <w:r>
        <w:t xml:space="preserve">Jeppesen U, Loft S, Poulsen H, Brosen K. A fluvoxamine-caffeine interaction study. Pharmacogenetics. 1996;(6):213-222.</w:t>
      </w:r>
    </w:p>
    <w:p>
      <w:pPr>
        <w:pStyle w:val="BodyText"/>
      </w:pPr>
      <w:r>
        <w:rPr>
          <w:bCs/>
          <w:b/>
        </w:rPr>
        <w:t xml:space="preserve">Joeres 1987</w:t>
      </w:r>
      <w:r>
        <w:t xml:space="preserve"> </w:t>
      </w:r>
      <w:r>
        <w:t xml:space="preserve">Joeres, R., Klinker, H., Heusler, H., Epping, J., Richter, E. (1987). Influence of mexiletine on caffeine elimination</w:t>
      </w:r>
      <w:r>
        <w:rPr>
          <w:iCs/>
          <w:i/>
        </w:rPr>
        <w:t xml:space="preserve">. Pharmacology &amp; therapeutics</w:t>
      </w:r>
      <w:r>
        <w:t xml:space="preserve">, 33(1), 163-169.</w:t>
      </w:r>
    </w:p>
    <w:p>
      <w:pPr>
        <w:pStyle w:val="BodyText"/>
      </w:pPr>
      <w:r>
        <w:rPr>
          <w:bCs/>
          <w:b/>
        </w:rPr>
        <w:t xml:space="preserve">Ko 1997</w:t>
      </w:r>
      <w:r>
        <w:t xml:space="preserve"> </w:t>
      </w:r>
      <w:r>
        <w:t xml:space="preserve">Ko JW, Sukhova N, Thacker D, Chen P, Flockhart DA. Evaluation of omeprazole and lansoprazole as inhibitors of cytochrome P450 isoforms.</w:t>
      </w:r>
      <w:r>
        <w:t xml:space="preserve"> </w:t>
      </w:r>
      <w:r>
        <w:rPr>
          <w:iCs/>
          <w:i/>
        </w:rPr>
        <w:t xml:space="preserve">Drug Metab Dispos</w:t>
      </w:r>
      <w:r>
        <w:t xml:space="preserve">. 1997;25(7):853-862.</w:t>
      </w:r>
    </w:p>
    <w:p>
      <w:pPr>
        <w:pStyle w:val="BodyText"/>
      </w:pPr>
      <w:r>
        <w:rPr>
          <w:bCs/>
          <w:b/>
        </w:rPr>
        <w:t xml:space="preserve">Kusumoto 2001</w:t>
      </w:r>
      <w:r>
        <w:t xml:space="preserve"> </w:t>
      </w:r>
      <w:r>
        <w:t xml:space="preserve">Kusumoto M, Ueno K, Oda A, et al. Effect of fluvoxamine on the pharmacokinetics of mexiletine in healthy Japanese men.</w:t>
      </w:r>
      <w:r>
        <w:t xml:space="preserve"> </w:t>
      </w:r>
      <w:r>
        <w:rPr>
          <w:iCs/>
          <w:i/>
        </w:rPr>
        <w:t xml:space="preserve">Clin Pharmacol Ther</w:t>
      </w:r>
      <w:r>
        <w:t xml:space="preserve">. 2001;69(3):104-107.</w:t>
      </w:r>
    </w:p>
    <w:p>
      <w:pPr>
        <w:pStyle w:val="BodyText"/>
      </w:pPr>
      <w:r>
        <w:rPr>
          <w:bCs/>
          <w:b/>
        </w:rPr>
        <w:t xml:space="preserve">Momo 2010</w:t>
      </w:r>
      <w:r>
        <w:t xml:space="preserve"> </w:t>
      </w:r>
      <w:r>
        <w:t xml:space="preserve">Momo K, Homma M, Osaka Y, Inomata SI, Tanaka M, Kohda Y. Effects of mexiletine, a CYP1A2 inhibitor, on tizanidine pharmacokinetics and pharmacodynamics.</w:t>
      </w:r>
      <w:r>
        <w:t xml:space="preserve"> </w:t>
      </w:r>
      <w:r>
        <w:rPr>
          <w:iCs/>
          <w:i/>
        </w:rPr>
        <w:t xml:space="preserve">J Clin Pharmacol</w:t>
      </w:r>
      <w:r>
        <w:t xml:space="preserve">. 2010;50(3):331-337.</w:t>
      </w:r>
    </w:p>
    <w:p>
      <w:pPr>
        <w:pStyle w:val="BodyText"/>
      </w:pPr>
      <w:r>
        <w:rPr>
          <w:bCs/>
          <w:b/>
        </w:rPr>
        <w:t xml:space="preserve">Wei 1999</w:t>
      </w:r>
      <w:r>
        <w:t xml:space="preserve"> </w:t>
      </w:r>
      <w:r>
        <w:t xml:space="preserve">Wei X, Dai R, Zhai S, Thummel KE, Friedman FK, Vestal RE. Inhibition of human liver cytochrome P-450 1A2 by the class IB antiarrhythmics mexiletine, lidocaine, and tocainide.</w:t>
      </w:r>
      <w:r>
        <w:t xml:space="preserve"> </w:t>
      </w:r>
      <w:r>
        <w:rPr>
          <w:iCs/>
          <w:i/>
        </w:rPr>
        <w:t xml:space="preserve">J Pharmacol Exp Ther</w:t>
      </w:r>
      <w:r>
        <w:t xml:space="preserve">. 1999;289(2):853-858.</w:t>
      </w:r>
    </w:p>
    <w:p>
      <w:pPr>
        <w:pStyle w:val="BodyText"/>
      </w:pPr>
      <w:r>
        <w:rPr>
          <w:bCs/>
          <w:b/>
        </w:rPr>
        <w:t xml:space="preserve">Zhou 2009</w:t>
      </w:r>
      <w:r>
        <w:t xml:space="preserve"> </w:t>
      </w:r>
      <w:r>
        <w:t xml:space="preserve">Zhou SF, Yang LP, Zhou ZW, Liu YH, Chan E. Insights into the substrate specificity, inhibitors, regulation, and polymorphisms and the clinical impact of human cytochrome P450 1A2. AAPS J. 2009 Sep;11(3):481-94. doi: 10.1208/s12248-009-9127-y. Epub 2009 Jul 10. PMID: 19590965; PMCID: PMC2758120.</w:t>
      </w:r>
    </w:p>
    <w:bookmarkEnd w:id="158"/>
    <w:bookmarkStart w:id="189" w:name="appendix"/>
    <w:p>
      <w:pPr>
        <w:pStyle w:val="Heading1"/>
      </w:pPr>
      <w:r>
        <w:t xml:space="preserve">Appendix</w:t>
      </w:r>
      <w:bookmarkStart w:id="appendix" w:name="appendix"/>
      <w:bookmarkEnd w:id="appendix"/>
    </w:p>
    <w:bookmarkStart w:id="163" w:name="Xf2129835e9665e0ef6a32e8c0dde4d7bc9979ae"/>
    <w:p>
      <w:pPr>
        <w:pStyle w:val="Heading2"/>
      </w:pPr>
      <w:r>
        <w:t xml:space="preserve">Open Systems Pharmacology Suite (OSPS) Introduction</w:t>
      </w:r>
      <w:bookmarkStart w:id="osp-introduction" w:name="osp-introduction"/>
      <w:bookmarkEnd w:id="osp-introduction"/>
    </w:p>
    <w:p>
      <w:pPr>
        <w:pStyle w:val="FirstParagraph"/>
      </w:pPr>
      <w:r>
        <w:t xml:space="preserve">Open Systems Pharmacology Suite (OSP suite) is a tool for PBPK modeling and simulation of drugs in laboratory animals and humans. PK-Sim® and MoBi® are part of the OSP suite [</w:t>
      </w:r>
      <w:hyperlink w:anchor="references-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hyperlink w:anchor="figure-appendix-1">
        <w:r>
          <w:rPr>
            <w:rStyle w:val="Hyperlink"/>
            <w:bCs/>
            <w:b/>
          </w:rPr>
          <w:t xml:space="preserve">Figure Appendix-1</w:t>
        </w:r>
      </w:hyperlink>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osps-introduction">
        <w:r>
          <w:rPr>
            <w:rStyle w:val="Hyperlink"/>
          </w:rPr>
          <w:t xml:space="preserve">2</w:t>
        </w:r>
      </w:hyperlink>
      <w:r>
        <w:t xml:space="preserve">] organ partition coefficients (tissue-to-plasma partition coefficients) [</w:t>
      </w:r>
      <w:hyperlink w:anchor="references-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osps-introduction">
        <w:r>
          <w:rPr>
            <w:rStyle w:val="Hyperlink"/>
          </w:rPr>
          <w:t xml:space="preserve">3,4</w:t>
        </w:r>
      </w:hyperlink>
      <w:r>
        <w:t xml:space="preserve">] or that of Rodgers and Rowland [</w:t>
      </w:r>
      <w:hyperlink w:anchor="references-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osps-introduction">
        <w:r>
          <w:rPr>
            <w:rStyle w:val="Hyperlink"/>
          </w:rPr>
          <w:t xml:space="preserve">2</w:t>
        </w:r>
      </w:hyperlink>
      <w:r>
        <w:t xml:space="preserve">]), with the user-defined body weight and height and ethnicity of the individual [</w:t>
      </w:r>
      <w:hyperlink w:anchor="references-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osps-introduction">
        <w:r>
          <w:rPr>
            <w:rStyle w:val="Hyperlink"/>
          </w:rPr>
          <w:t xml:space="preserve">2,4,8,9</w:t>
        </w:r>
      </w:hyperlink>
      <w:r>
        <w:t xml:space="preserve">] or the OSP Suite homepage (</w:t>
      </w:r>
      <w:hyperlink r:id="rId159">
        <w:r>
          <w:rPr>
            <w:rStyle w:val="Hyperlink"/>
          </w:rPr>
          <w:t xml:space="preserve">https://docs.open-systems-pharmacology.org/mechanistic-modeling-of-pharmacokinetics-and-dynamics/modeling-concepts</w:t>
        </w:r>
      </w:hyperlink>
      <w:r>
        <w:t xml:space="preserve">).</w:t>
      </w:r>
    </w:p>
    <w:br w:type="page"/>
    <w:p>
      <w:pPr>
        <w:pStyle w:val="BodyText"/>
      </w:pPr>
      <w:bookmarkStart w:id="figure-appendix-1" w:name="figure-appendix-1"/>
      <w:bookmarkEnd w:id="figure-appendix-1"/>
    </w:p>
    <w:br w:type="page"/>
    <w:p>
      <w:pPr>
        <w:pStyle w:val="BodyText"/>
      </w:pPr>
      <w:bookmarkStart w:id="figure-6-1" w:name="figure-6-1"/>
      <w:bookmarkEnd w:id="figure-6-1"/>
    </w:p>
    <w:p>
      <w:pPr>
        <w:pStyle w:val="CaptionedFigure"/>
      </w:pPr>
      <w:r>
        <w:drawing>
          <wp:inline>
            <wp:extent cx="5969000" cy="7652384"/>
            <wp:effectExtent b="0" l="0" r="0" t="0"/>
            <wp:docPr descr="generic PBPK model" title="" id="161" name="Picture"/>
            <a:graphic>
              <a:graphicData uri="http://schemas.openxmlformats.org/drawingml/2006/picture">
                <pic:pic>
                  <pic:nvPicPr>
                    <pic:cNvPr descr="images/PK-Sim_PBPK_generic_model_scheme.png" id="162" name="Picture"/>
                    <pic:cNvPicPr>
                      <a:picLocks noChangeArrowheads="1" noChangeAspect="1"/>
                    </pic:cNvPicPr>
                  </pic:nvPicPr>
                  <pic:blipFill>
                    <a:blip r:embed="rId160"/>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p>
      <w:pPr>
        <w:pStyle w:val="BodyText"/>
      </w:pPr>
      <w:r>
        <w:rPr>
          <w:bCs/>
          <w:b/>
        </w:rPr>
        <w:t xml:space="preserve">Figure</w:t>
      </w:r>
      <w:r>
        <w:t xml:space="preserve"> </w:t>
      </w:r>
      <w:r>
        <w:rPr>
          <w:bCs/>
          <w:b/>
        </w:rPr>
        <w:t xml:space="preserve">Appendix-1: Structure of the Whole Body PBPK Model integrated in PK-Sim®</w:t>
      </w:r>
    </w:p>
    <w:p>
      <w:pPr>
        <w:pStyle w:val="BodyText"/>
      </w:pPr>
      <w:bookmarkStart w:id="references-osps-introduction" w:name="references-osps-introduction"/>
      <w:bookmarkEnd w:id="references-osps-introduction"/>
    </w:p>
    <w:bookmarkEnd w:id="163"/>
    <w:bookmarkStart w:id="173" w:name="references-for-osps-introduction"/>
    <w:p>
      <w:pPr>
        <w:pStyle w:val="Heading2"/>
      </w:pPr>
      <w:r>
        <w:t xml:space="preserve">References for OSPS introduction</w:t>
      </w:r>
    </w:p>
    <w:p>
      <w:pPr>
        <w:pStyle w:val="FirstParagraph"/>
      </w:pPr>
      <w:r>
        <w:t xml:space="preserve">[1]</w:t>
      </w:r>
      <w:r>
        <w:t xml:space="preserve"> </w:t>
      </w:r>
      <w:hyperlink r:id="rId164">
        <w:r>
          <w:rPr>
            <w:rStyle w:val="Hyperlink"/>
          </w:rPr>
          <w:t xml:space="preserve">www.open-systems-pharmacology.org</w:t>
        </w:r>
      </w:hyperlink>
    </w:p>
    <w:p>
      <w:pPr>
        <w:pStyle w:val="BodyText"/>
      </w:pPr>
      <w:r>
        <w:t xml:space="preserve">[2]</w:t>
      </w:r>
      <w:r>
        <w:t xml:space="preserve"> </w:t>
      </w:r>
      <w:hyperlink r:id="rId165">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166">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167">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168">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169">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170">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171">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172">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bookmarkEnd w:id="173"/>
    <w:bookmarkStart w:id="177" w:name="X4bcdf79c00dcdcc0b4198c7b61e2414b349f99b"/>
    <w:p>
      <w:pPr>
        <w:pStyle w:val="Heading2"/>
      </w:pPr>
      <w:r>
        <w:t xml:space="preserve">Mathematical Implementation of Drug-Drug Interactions</w:t>
      </w:r>
      <w:bookmarkStart w:id="ddi-implementation" w:name="ddi-implementation"/>
      <w:bookmarkEnd w:id="ddi-implementation"/>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 (</w:t>
      </w:r>
      <w:hyperlink r:id="rId174">
        <w:r>
          <w:rPr>
            <w:rStyle w:val="Hyperlink"/>
          </w:rPr>
          <w:t xml:space="preserve">https://docs.open-systems-pharmacology.org/working-with-pk-sim/pk-sim-documentation/pk-sim-compounds-defining-inhibition-induction-processes#competitive-inhibition-simple-setting-with-one-inhibitor</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 (</w:t>
      </w:r>
      <w:hyperlink r:id="rId175">
        <w:r>
          <w:rPr>
            <w:rStyle w:val="Hyperlink"/>
          </w:rPr>
          <w:t xml:space="preserve">https://docs.open-systems-pharmacology.org/working-with-pk-sim/pk-sim-documentation/pk-sim-compounds-defining-inhibition-induction-processes#irreversible-inhibition</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 (</w:t>
      </w:r>
      <w:hyperlink r:id="rId176">
        <w:r>
          <w:rPr>
            <w:rStyle w:val="Hyperlink"/>
          </w:rPr>
          <w:t xml:space="preserve">https://docs.open-systems-pharmacology.org/working-with-pk-sim/pk-sim-documentation/pk-sim-compounds-defining-inhibition-induction-processes#enzyme-induction</w:t>
        </w:r>
      </w:hyperlink>
      <w:r>
        <w:t xml:space="preserve">).</w:t>
      </w:r>
    </w:p>
    <w:bookmarkEnd w:id="177"/>
    <w:bookmarkStart w:id="188" w:name="automatic-re-qualification-workflow"/>
    <w:p>
      <w:pPr>
        <w:pStyle w:val="Heading2"/>
      </w:pPr>
      <w:r>
        <w:t xml:space="preserve">Automatic (re)-qualification workflow</w:t>
      </w:r>
      <w:bookmarkStart w:id="requalification-workflow" w:name="requalification-workflow"/>
      <w:bookmarkEnd w:id="requalification-workflow"/>
    </w:p>
    <w:p>
      <w:pPr>
        <w:pStyle w:val="FirstParagraph"/>
      </w:pPr>
      <w:r>
        <w:t xml:space="preserve">Open Systems Pharmacology (</w:t>
      </w:r>
      <w:hyperlink r:id="rId178">
        <w:r>
          <w:rPr>
            <w:rStyle w:val="Hyperlink"/>
          </w:rPr>
          <w:t xml:space="preserve">https://www.open-systems-pharmacology.org/</w:t>
        </w:r>
      </w:hyperlink>
      <w:r>
        <w:t xml:space="preserve">) 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w:t>
      </w:r>
      <w:r>
        <w:t xml:space="preserve"> </w:t>
      </w:r>
      <w:hyperlink w:anchor="figure-appendix-2">
        <w:r>
          <w:rPr>
            <w:rStyle w:val="Hyperlink"/>
            <w:bCs/>
            <w:b/>
          </w:rPr>
          <w:t xml:space="preserve">Figure Appendix-2</w:t>
        </w:r>
      </w:hyperlink>
      <w:r>
        <w:t xml:space="preserve">:</w:t>
      </w:r>
    </w:p>
    <w:p>
      <w:pPr>
        <w:numPr>
          <w:ilvl w:val="0"/>
          <w:numId w:val="1018"/>
        </w:numPr>
      </w:pPr>
      <w:r>
        <w:t xml:space="preserve">PBPK model development and verification with observed data,</w:t>
      </w:r>
    </w:p>
    <w:p>
      <w:pPr>
        <w:numPr>
          <w:ilvl w:val="0"/>
          <w:numId w:val="1018"/>
        </w:numPr>
      </w:pPr>
      <w:r>
        <w:t xml:space="preserve">Qualification plan generation,</w:t>
      </w:r>
    </w:p>
    <w:p>
      <w:pPr>
        <w:numPr>
          <w:ilvl w:val="0"/>
          <w:numId w:val="1018"/>
        </w:numPr>
      </w:pPr>
      <w:r>
        <w:t xml:space="preserve">Qualification plan execution,</w:t>
      </w:r>
    </w:p>
    <w:p>
      <w:pPr>
        <w:numPr>
          <w:ilvl w:val="0"/>
          <w:numId w:val="1018"/>
        </w:numPr>
      </w:pPr>
      <w:r>
        <w:t xml:space="preserve">Qualification report generation.</w:t>
      </w:r>
    </w:p>
    <w:br w:type="page"/>
    <w:p>
      <w:pPr>
        <w:pStyle w:val="FirstParagraph"/>
      </w:pPr>
      <w:bookmarkStart w:id="figure-appendix-2" w:name="figure-appendix-2"/>
      <w:bookmarkEnd w:id="figure-appendix-2"/>
    </w:p>
    <w:br w:type="page"/>
    <w:p>
      <w:pPr>
        <w:pStyle w:val="BodyText"/>
      </w:pPr>
      <w:bookmarkStart w:id="figure-6-2" w:name="figure-6-2"/>
      <w:bookmarkEnd w:id="figure-6-2"/>
    </w:p>
    <w:p>
      <w:pPr>
        <w:pStyle w:val="CaptionedFigure"/>
      </w:pPr>
      <w:r>
        <w:drawing>
          <wp:inline>
            <wp:extent cx="5969000" cy="2667071"/>
            <wp:effectExtent b="0" l="0" r="0" t="0"/>
            <wp:docPr descr="OSP qualification workflow" title="" id="180" name="Picture"/>
            <a:graphic>
              <a:graphicData uri="http://schemas.openxmlformats.org/drawingml/2006/picture">
                <pic:pic>
                  <pic:nvPicPr>
                    <pic:cNvPr descr="images/OSP_Qualification_Workflow_1.png" id="181" name="Picture"/>
                    <pic:cNvPicPr>
                      <a:picLocks noChangeArrowheads="1" noChangeAspect="1"/>
                    </pic:cNvPicPr>
                  </pic:nvPicPr>
                  <pic:blipFill>
                    <a:blip r:embed="rId179"/>
                    <a:stretch>
                      <a:fillRect/>
                    </a:stretch>
                  </pic:blipFill>
                  <pic:spPr bwMode="auto">
                    <a:xfrm>
                      <a:off x="0" y="0"/>
                      <a:ext cx="5969000" cy="2667071"/>
                    </a:xfrm>
                    <a:prstGeom prst="rect">
                      <a:avLst/>
                    </a:prstGeom>
                    <a:noFill/>
                    <a:ln w="9525">
                      <a:noFill/>
                      <a:headEnd/>
                      <a:tailEnd/>
                    </a:ln>
                  </pic:spPr>
                </pic:pic>
              </a:graphicData>
            </a:graphic>
          </wp:inline>
        </w:drawing>
      </w:r>
    </w:p>
    <w:p>
      <w:pPr>
        <w:pStyle w:val="ImageCaption"/>
      </w:pPr>
      <w:r>
        <w:t xml:space="preserve">OSP qualification workflow</w:t>
      </w:r>
    </w:p>
    <w:p>
      <w:pPr>
        <w:pStyle w:val="BodyText"/>
      </w:pPr>
      <w:r>
        <w:rPr>
          <w:bCs/>
          <w:b/>
        </w:rPr>
        <w:t xml:space="preserve">Figure Appendix-2: OSP suite automatic (re)-qualification workflow</w:t>
      </w:r>
    </w:p>
    <w:p>
      <w:pPr>
        <w:pStyle w:val="BodyText"/>
      </w:pPr>
      <w:r>
        <w:t xml:space="preserve">In a first step, the respective qualification scenario is saved in a special qualification repository on OSP GitHub (</w:t>
      </w:r>
      <w:hyperlink r:id="rId182">
        <w:r>
          <w:rPr>
            <w:rStyle w:val="Hyperlink"/>
          </w:rPr>
          <w:t xml:space="preserve">https://github.com/Open-Systems-Pharmacology/</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19"/>
        </w:numPr>
        <w:pStyle w:val="Compact"/>
      </w:pPr>
      <w:r>
        <w:t xml:space="preserve">PK-Sim project files,</w:t>
      </w:r>
    </w:p>
    <w:p>
      <w:pPr>
        <w:numPr>
          <w:ilvl w:val="0"/>
          <w:numId w:val="1019"/>
        </w:numPr>
        <w:pStyle w:val="Compact"/>
      </w:pPr>
      <w:r>
        <w:t xml:space="preserve">Additional model building steps (if applicable),</w:t>
      </w:r>
    </w:p>
    <w:p>
      <w:pPr>
        <w:numPr>
          <w:ilvl w:val="0"/>
          <w:numId w:val="1019"/>
        </w:numPr>
        <w:pStyle w:val="Compact"/>
      </w:pPr>
      <w:r>
        <w:t xml:space="preserve">Description of potential cross-dependencies between PK-Sim project files (if applicable),</w:t>
      </w:r>
    </w:p>
    <w:p>
      <w:pPr>
        <w:numPr>
          <w:ilvl w:val="0"/>
          <w:numId w:val="1019"/>
        </w:numPr>
        <w:pStyle w:val="Compact"/>
      </w:pPr>
      <w:r>
        <w:t xml:space="preserve">Observed data (needed for model development and verification),</w:t>
      </w:r>
    </w:p>
    <w:p>
      <w:pPr>
        <w:numPr>
          <w:ilvl w:val="0"/>
          <w:numId w:val="1019"/>
        </w:numPr>
        <w:pStyle w:val="Compact"/>
      </w:pPr>
      <w:r>
        <w:t xml:space="preserve">Qualification scenario description text modules</w:t>
      </w:r>
    </w:p>
    <w:p>
      <w:pPr>
        <w:numPr>
          <w:ilvl w:val="0"/>
          <w:numId w:val="1019"/>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hyperlink w:anchor="figure-appendix-3">
        <w:r>
          <w:rPr>
            <w:rStyle w:val="Hyperlink"/>
            <w:bCs/>
            <w:b/>
          </w:rPr>
          <w:t xml:space="preserve">Figure Appendix-3</w:t>
        </w:r>
      </w:hyperlink>
      <w:r>
        <w:t xml:space="preserve">).</w:t>
      </w:r>
    </w:p>
    <w:br w:type="page"/>
    <w:p>
      <w:pPr>
        <w:pStyle w:val="BodyText"/>
      </w:pPr>
      <w:bookmarkStart w:id="figure-appendix-3" w:name="figure-appendix-3"/>
      <w:bookmarkEnd w:id="figure-appendix-3"/>
    </w:p>
    <w:br w:type="page"/>
    <w:p>
      <w:pPr>
        <w:pStyle w:val="BodyText"/>
      </w:pPr>
      <w:bookmarkStart w:id="figure-6-3" w:name="figure-6-3"/>
      <w:bookmarkEnd w:id="figure-6-3"/>
    </w:p>
    <w:p>
      <w:pPr>
        <w:pStyle w:val="CaptionedFigure"/>
      </w:pPr>
      <w:r>
        <w:drawing>
          <wp:inline>
            <wp:extent cx="5969000" cy="2875672"/>
            <wp:effectExtent b="0" l="0" r="0" t="0"/>
            <wp:docPr descr="OSP qualification workflow detail" title="" id="184" name="Picture"/>
            <a:graphic>
              <a:graphicData uri="http://schemas.openxmlformats.org/drawingml/2006/picture">
                <pic:pic>
                  <pic:nvPicPr>
                    <pic:cNvPr descr="images/OSP_Qualification_Workflow_2.png" id="185" name="Picture"/>
                    <pic:cNvPicPr>
                      <a:picLocks noChangeArrowheads="1" noChangeAspect="1"/>
                    </pic:cNvPicPr>
                  </pic:nvPicPr>
                  <pic:blipFill>
                    <a:blip r:embed="rId183"/>
                    <a:stretch>
                      <a:fillRect/>
                    </a:stretch>
                  </pic:blipFill>
                  <pic:spPr bwMode="auto">
                    <a:xfrm>
                      <a:off x="0" y="0"/>
                      <a:ext cx="5969000" cy="2875672"/>
                    </a:xfrm>
                    <a:prstGeom prst="rect">
                      <a:avLst/>
                    </a:prstGeom>
                    <a:noFill/>
                    <a:ln w="9525">
                      <a:noFill/>
                      <a:headEnd/>
                      <a:tailEnd/>
                    </a:ln>
                  </pic:spPr>
                </pic:pic>
              </a:graphicData>
            </a:graphic>
          </wp:inline>
        </w:drawing>
      </w:r>
    </w:p>
    <w:p>
      <w:pPr>
        <w:pStyle w:val="ImageCaption"/>
      </w:pPr>
      <w:r>
        <w:t xml:space="preserve">OSP qualification workflow detail</w:t>
      </w:r>
    </w:p>
    <w:p>
      <w:pPr>
        <w:pStyle w:val="BodyText"/>
      </w:pPr>
      <w:r>
        <w:rPr>
          <w:bCs/>
          <w:b/>
        </w:rPr>
        <w:t xml:space="preserve">Figure Appendix-3: Qualification scenario repository landscape on GitHub</w:t>
      </w:r>
    </w:p>
    <w:p>
      <w:pPr>
        <w:pStyle w:val="BodyText"/>
      </w:pPr>
      <w:r>
        <w:t xml:space="preserve">In a second step the qualification runner (</w:t>
      </w:r>
      <w:hyperlink r:id="rId186">
        <w:r>
          <w:rPr>
            <w:rStyle w:val="Hyperlink"/>
          </w:rPr>
          <w:t xml:space="preserve">https://github.com/Open-Systems-Pharmacology/QualificationRunner</w:t>
        </w:r>
      </w:hyperlink>
      <w:r>
        <w:t xml:space="preserve">) processes the qualification plan, i.e. all project parts are exported and prepared for the reporting engine (</w:t>
      </w:r>
      <w:hyperlink r:id="rId187">
        <w:r>
          <w:rPr>
            <w:rStyle w:val="Hyperlink"/>
          </w:rPr>
          <w:t xml:space="preserve">https://github.com/Open-Systems-Pharmacology/Reporting-Engine</w:t>
        </w:r>
      </w:hyperlink>
      <w:r>
        <w:t xml:space="preserve">). The reporting engine provides a validated environment (implemented in R)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188"/>
    <w:bookmarkEnd w:id="189"/>
    <w:bookmarkStart w:id="190" w:name="glossary"/>
    <w:p>
      <w:pPr>
        <w:pStyle w:val="Heading1"/>
      </w:pPr>
      <w:r>
        <w:t xml:space="preserve">Glossary</w:t>
      </w:r>
      <w:bookmarkStart w:id="glossary" w:name="glossary"/>
      <w:bookmarkEnd w:id="glossary"/>
    </w:p>
    <w:tbl>
      <w:tblPr>
        <w:tblStyle w:val="Table"/>
        <w:tblW w:type="pct" w:w="5000"/>
        <w:tblLook w:firstRow="1" w:lastRow="0" w:firstColumn="0" w:lastColumn="0" w:noHBand="0" w:noVBand="0" w:val="0020"/>
        <w:jc w:val="start"/>
      </w:tblPr>
      <w:tblGrid>
        <w:gridCol w:w="827"/>
        <w:gridCol w:w="7092"/>
      </w:tblGrid>
      <w:tr>
        <w:trPr>
          <w:tblHeader w:val="true"/>
        </w:trPr>
        <w:tc>
          <w:tcPr/>
          <w:p>
            <w:pPr>
              <w:pStyle w:val="Compact"/>
              <w:jc w:val="left"/>
            </w:pPr>
            <w:r>
              <w:t xml:space="preserve">ADME</w:t>
            </w:r>
          </w:p>
        </w:tc>
        <w:tc>
          <w:tcPr/>
          <w:p>
            <w:pPr>
              <w:pStyle w:val="Compact"/>
              <w:jc w:val="left"/>
            </w:pPr>
            <w:r>
              <w:t xml:space="preserve">Absorption, Distribution, Metabolism, Excretion</w:t>
            </w:r>
          </w:p>
        </w:tc>
      </w:tr>
      <w:tr>
        <w:tc>
          <w:tcPr/>
          <w:p>
            <w:pPr>
              <w:pStyle w:val="Compact"/>
              <w:jc w:val="left"/>
            </w:pPr>
            <w:r>
              <w:t xml:space="preserve">AUC</w:t>
            </w:r>
          </w:p>
        </w:tc>
        <w:tc>
          <w:tcPr/>
          <w:p>
            <w:pPr>
              <w:pStyle w:val="Compact"/>
              <w:jc w:val="left"/>
            </w:pPr>
            <w:r>
              <w:t xml:space="preserve">Area under the plasma concentration versus time curve</w:t>
            </w:r>
          </w:p>
        </w:tc>
      </w:tr>
      <w:tr>
        <w:tc>
          <w:tcPr/>
          <w:p>
            <w:pPr>
              <w:pStyle w:val="Compact"/>
              <w:jc w:val="left"/>
            </w:pPr>
            <w:r>
              <w:t xml:space="preserve">AUCinf</w:t>
            </w:r>
          </w:p>
        </w:tc>
        <w:tc>
          <w:tcPr/>
          <w:p>
            <w:pPr>
              <w:pStyle w:val="Compact"/>
              <w:jc w:val="left"/>
            </w:pPr>
            <w:r>
              <w:t xml:space="preserve">AUC until infinity</w:t>
            </w:r>
          </w:p>
        </w:tc>
      </w:tr>
      <w:tr>
        <w:tc>
          <w:tcPr/>
          <w:p>
            <w:pPr>
              <w:pStyle w:val="Compact"/>
              <w:jc w:val="left"/>
            </w:pPr>
            <w:r>
              <w:t xml:space="preserve">AUClast</w:t>
            </w:r>
          </w:p>
        </w:tc>
        <w:tc>
          <w:tcPr/>
          <w:p>
            <w:pPr>
              <w:pStyle w:val="Compact"/>
              <w:jc w:val="left"/>
            </w:pPr>
            <w:r>
              <w:t xml:space="preserve">AUC until last measurable sample</w:t>
            </w:r>
          </w:p>
        </w:tc>
      </w:tr>
      <w:tr>
        <w:tc>
          <w:tcPr/>
          <w:p>
            <w:pPr>
              <w:pStyle w:val="Compact"/>
              <w:jc w:val="left"/>
            </w:pPr>
            <w:r>
              <w:t xml:space="preserve">AUCR</w:t>
            </w:r>
          </w:p>
        </w:tc>
        <w:tc>
          <w:tcPr/>
          <w:p>
            <w:pPr>
              <w:pStyle w:val="Compact"/>
              <w:jc w:val="left"/>
            </w:pPr>
            <w:r>
              <w:t xml:space="preserve">Area under the plasma concentration versus time curve Ratio</w:t>
            </w:r>
          </w:p>
        </w:tc>
      </w:tr>
      <w:tr>
        <w:tc>
          <w:tcPr/>
          <w:p>
            <w:pPr>
              <w:pStyle w:val="Compact"/>
              <w:jc w:val="left"/>
            </w:pPr>
            <w:r>
              <w:t xml:space="preserve">b.i.d.</w:t>
            </w:r>
          </w:p>
        </w:tc>
        <w:tc>
          <w:tcPr/>
          <w:p>
            <w:pPr>
              <w:pStyle w:val="Compact"/>
              <w:jc w:val="left"/>
            </w:pPr>
            <w:r>
              <w:t xml:space="preserve">Twice daily (bis in diem)</w:t>
            </w:r>
          </w:p>
        </w:tc>
      </w:tr>
      <w:tr>
        <w:tc>
          <w:tcPr/>
          <w:p>
            <w:pPr>
              <w:pStyle w:val="Compact"/>
              <w:jc w:val="left"/>
            </w:pPr>
            <w:r>
              <w:t xml:space="preserve">CL</w:t>
            </w:r>
          </w:p>
        </w:tc>
        <w:tc>
          <w:tcPr/>
          <w:p>
            <w:pPr>
              <w:pStyle w:val="Compact"/>
              <w:jc w:val="left"/>
            </w:pPr>
            <w:r>
              <w:t xml:space="preserve">Clearance</w:t>
            </w:r>
          </w:p>
        </w:tc>
      </w:tr>
      <w:tr>
        <w:tc>
          <w:tcPr/>
          <w:p>
            <w:pPr>
              <w:pStyle w:val="Compact"/>
              <w:jc w:val="left"/>
            </w:pPr>
            <w:r>
              <w:t xml:space="preserve">Clint</w:t>
            </w:r>
          </w:p>
        </w:tc>
        <w:tc>
          <w:tcPr/>
          <w:p>
            <w:pPr>
              <w:pStyle w:val="Compact"/>
              <w:jc w:val="left"/>
            </w:pPr>
            <w:r>
              <w:t xml:space="preserve">Intrinsic liver clearance</w:t>
            </w:r>
          </w:p>
        </w:tc>
      </w:tr>
      <w:tr>
        <w:tc>
          <w:tcPr/>
          <w:p>
            <w:pPr>
              <w:pStyle w:val="Compact"/>
              <w:jc w:val="left"/>
            </w:pPr>
            <w:r>
              <w:t xml:space="preserve">Cmax</w:t>
            </w:r>
          </w:p>
        </w:tc>
        <w:tc>
          <w:tcPr/>
          <w:p>
            <w:pPr>
              <w:pStyle w:val="Compact"/>
              <w:jc w:val="left"/>
            </w:pPr>
            <w:r>
              <w:t xml:space="preserve">Maximum concentration</w:t>
            </w:r>
          </w:p>
        </w:tc>
      </w:tr>
      <w:tr>
        <w:tc>
          <w:tcPr/>
          <w:p>
            <w:pPr>
              <w:pStyle w:val="Compact"/>
              <w:jc w:val="left"/>
            </w:pPr>
            <w:r>
              <w:t xml:space="preserve">CmaxR</w:t>
            </w:r>
          </w:p>
        </w:tc>
        <w:tc>
          <w:tcPr/>
          <w:p>
            <w:pPr>
              <w:pStyle w:val="Compact"/>
              <w:jc w:val="left"/>
            </w:pPr>
            <w:r>
              <w:t xml:space="preserve">Maximum concentration Ratio</w:t>
            </w:r>
          </w:p>
        </w:tc>
      </w:tr>
      <w:tr>
        <w:tc>
          <w:tcPr/>
          <w:p>
            <w:pPr>
              <w:pStyle w:val="Compact"/>
              <w:jc w:val="left"/>
            </w:pPr>
            <w:r>
              <w:t xml:space="preserve">CYP</w:t>
            </w:r>
          </w:p>
        </w:tc>
        <w:tc>
          <w:tcPr/>
          <w:p>
            <w:pPr>
              <w:pStyle w:val="Compact"/>
              <w:jc w:val="left"/>
            </w:pPr>
            <w:r>
              <w:t xml:space="preserve">Cytochrome P450 oxidase</w:t>
            </w:r>
          </w:p>
        </w:tc>
      </w:tr>
      <w:tr>
        <w:tc>
          <w:tcPr/>
          <w:p>
            <w:pPr>
              <w:pStyle w:val="Compact"/>
              <w:jc w:val="left"/>
            </w:pPr>
            <w:r>
              <w:t xml:space="preserve">CYP1A2</w:t>
            </w:r>
          </w:p>
        </w:tc>
        <w:tc>
          <w:tcPr/>
          <w:p>
            <w:pPr>
              <w:pStyle w:val="Compact"/>
              <w:jc w:val="left"/>
            </w:pPr>
            <w:r>
              <w:t xml:space="preserve">Cytochrome P450 1A2 oxidase</w:t>
            </w:r>
          </w:p>
        </w:tc>
      </w:tr>
      <w:tr>
        <w:tc>
          <w:tcPr/>
          <w:p>
            <w:pPr>
              <w:pStyle w:val="Compact"/>
              <w:jc w:val="left"/>
            </w:pPr>
            <w:r>
              <w:t xml:space="preserve">CYP2C19</w:t>
            </w:r>
          </w:p>
        </w:tc>
        <w:tc>
          <w:tcPr/>
          <w:p>
            <w:pPr>
              <w:pStyle w:val="Compact"/>
              <w:jc w:val="left"/>
            </w:pPr>
            <w:r>
              <w:t xml:space="preserve">Cytochrome P450 2C19 oxidase</w:t>
            </w:r>
          </w:p>
        </w:tc>
      </w:tr>
      <w:tr>
        <w:tc>
          <w:tcPr/>
          <w:p>
            <w:pPr>
              <w:pStyle w:val="Compact"/>
              <w:jc w:val="left"/>
            </w:pPr>
            <w:r>
              <w:t xml:space="preserve">CYP3A4</w:t>
            </w:r>
          </w:p>
        </w:tc>
        <w:tc>
          <w:tcPr/>
          <w:p>
            <w:pPr>
              <w:pStyle w:val="Compact"/>
              <w:jc w:val="left"/>
            </w:pPr>
            <w:r>
              <w:t xml:space="preserve">Cytochrome P450 3A4 oxidase</w:t>
            </w:r>
          </w:p>
        </w:tc>
      </w:tr>
      <w:tr>
        <w:tc>
          <w:tcPr/>
          <w:p>
            <w:pPr>
              <w:pStyle w:val="Compact"/>
              <w:jc w:val="left"/>
            </w:pPr>
            <w:r>
              <w:t xml:space="preserve">DDI</w:t>
            </w:r>
          </w:p>
        </w:tc>
        <w:tc>
          <w:tcPr/>
          <w:p>
            <w:pPr>
              <w:pStyle w:val="Compact"/>
              <w:jc w:val="left"/>
            </w:pPr>
            <w:r>
              <w:t xml:space="preserve">Drug-drug interaction</w:t>
            </w:r>
          </w:p>
        </w:tc>
      </w:tr>
      <w:tr>
        <w:tc>
          <w:tcPr/>
          <w:p>
            <w:pPr>
              <w:pStyle w:val="Compact"/>
              <w:jc w:val="left"/>
            </w:pPr>
            <w:r>
              <w:t xml:space="preserve">e.c.</w:t>
            </w:r>
          </w:p>
        </w:tc>
        <w:tc>
          <w:tcPr/>
          <w:p>
            <w:pPr>
              <w:pStyle w:val="Compact"/>
              <w:jc w:val="left"/>
            </w:pPr>
            <w:r>
              <w:t xml:space="preserve">Enteric coated</w:t>
            </w:r>
          </w:p>
        </w:tc>
      </w:tr>
      <w:tr>
        <w:tc>
          <w:tcPr/>
          <w:p>
            <w:pPr>
              <w:pStyle w:val="Compact"/>
              <w:jc w:val="left"/>
            </w:pPr>
            <w:r>
              <w:t xml:space="preserve">EE</w:t>
            </w:r>
          </w:p>
        </w:tc>
        <w:tc>
          <w:tcPr/>
          <w:p>
            <w:pPr>
              <w:pStyle w:val="Compact"/>
              <w:jc w:val="left"/>
            </w:pPr>
            <w:r>
              <w:t xml:space="preserve">Ethinylestradiol</w:t>
            </w:r>
          </w:p>
        </w:tc>
      </w:tr>
      <w:tr>
        <w:tc>
          <w:tcPr/>
          <w:p>
            <w:pPr>
              <w:pStyle w:val="Compact"/>
              <w:jc w:val="left"/>
            </w:pPr>
            <w:r>
              <w:t xml:space="preserve">EM</w:t>
            </w:r>
          </w:p>
        </w:tc>
        <w:tc>
          <w:tcPr/>
          <w:p>
            <w:pPr>
              <w:pStyle w:val="Compact"/>
              <w:jc w:val="left"/>
            </w:pPr>
            <w:r>
              <w:t xml:space="preserve">Extensive metabolizers</w:t>
            </w:r>
          </w:p>
        </w:tc>
      </w:tr>
      <w:tr>
        <w:tc>
          <w:tcPr/>
          <w:p>
            <w:pPr>
              <w:pStyle w:val="Compact"/>
              <w:jc w:val="left"/>
            </w:pPr>
            <w:r>
              <w:t xml:space="preserve">fm</w:t>
            </w:r>
          </w:p>
        </w:tc>
        <w:tc>
          <w:tcPr/>
          <w:p>
            <w:pPr>
              <w:pStyle w:val="Compact"/>
              <w:jc w:val="left"/>
            </w:pPr>
            <w:r>
              <w:t xml:space="preserve">Fraction metabolized</w:t>
            </w:r>
          </w:p>
        </w:tc>
      </w:tr>
      <w:tr>
        <w:tc>
          <w:tcPr/>
          <w:p>
            <w:pPr>
              <w:pStyle w:val="Compact"/>
              <w:jc w:val="left"/>
            </w:pPr>
            <w:r>
              <w:t xml:space="preserve">FMO</w:t>
            </w:r>
          </w:p>
        </w:tc>
        <w:tc>
          <w:tcPr/>
          <w:p>
            <w:pPr>
              <w:pStyle w:val="Compact"/>
              <w:jc w:val="left"/>
            </w:pPr>
            <w:r>
              <w:t xml:space="preserve">Flavin-containing monooxygenase</w:t>
            </w:r>
          </w:p>
        </w:tc>
      </w:tr>
      <w:tr>
        <w:tc>
          <w:tcPr/>
          <w:p>
            <w:pPr>
              <w:pStyle w:val="Compact"/>
              <w:jc w:val="left"/>
            </w:pPr>
            <w:r>
              <w:t xml:space="preserve">fu</w:t>
            </w:r>
          </w:p>
        </w:tc>
        <w:tc>
          <w:tcPr/>
          <w:p>
            <w:pPr>
              <w:pStyle w:val="Compact"/>
              <w:jc w:val="left"/>
            </w:pPr>
            <w:r>
              <w:t xml:space="preserve">Fraction unbound</w:t>
            </w:r>
          </w:p>
        </w:tc>
      </w:tr>
      <w:tr>
        <w:tc>
          <w:tcPr/>
          <w:p>
            <w:pPr>
              <w:pStyle w:val="Compact"/>
              <w:jc w:val="left"/>
            </w:pPr>
            <w:r>
              <w:t xml:space="preserve">FDA</w:t>
            </w:r>
          </w:p>
        </w:tc>
        <w:tc>
          <w:tcPr/>
          <w:p>
            <w:pPr>
              <w:pStyle w:val="Compact"/>
              <w:jc w:val="left"/>
            </w:pPr>
            <w:r>
              <w:t xml:space="preserve">Food and Drug administration</w:t>
            </w:r>
          </w:p>
        </w:tc>
      </w:tr>
      <w:tr>
        <w:tc>
          <w:tcPr/>
          <w:p>
            <w:pPr>
              <w:pStyle w:val="Compact"/>
              <w:jc w:val="left"/>
            </w:pPr>
            <w:r>
              <w:t xml:space="preserve">GFR</w:t>
            </w:r>
          </w:p>
        </w:tc>
        <w:tc>
          <w:tcPr/>
          <w:p>
            <w:pPr>
              <w:pStyle w:val="Compact"/>
              <w:jc w:val="left"/>
            </w:pPr>
            <w:r>
              <w:t xml:space="preserve">Glomerular filtration rate</w:t>
            </w:r>
          </w:p>
        </w:tc>
      </w:tr>
      <w:tr>
        <w:tc>
          <w:tcPr/>
          <w:p>
            <w:pPr>
              <w:pStyle w:val="Compact"/>
              <w:jc w:val="left"/>
            </w:pPr>
            <w:r>
              <w:t xml:space="preserve">HLM</w:t>
            </w:r>
          </w:p>
        </w:tc>
        <w:tc>
          <w:tcPr/>
          <w:p>
            <w:pPr>
              <w:pStyle w:val="Compact"/>
              <w:jc w:val="left"/>
            </w:pPr>
            <w:r>
              <w:t xml:space="preserve">Human liver microsomes</w:t>
            </w:r>
          </w:p>
        </w:tc>
      </w:tr>
      <w:tr>
        <w:tc>
          <w:tcPr/>
          <w:p>
            <w:pPr>
              <w:pStyle w:val="Compact"/>
              <w:jc w:val="left"/>
            </w:pPr>
            <w:r>
              <w:t xml:space="preserve">hm</w:t>
            </w:r>
          </w:p>
        </w:tc>
        <w:tc>
          <w:tcPr/>
          <w:p>
            <w:pPr>
              <w:pStyle w:val="Compact"/>
              <w:jc w:val="left"/>
            </w:pPr>
            <w:r>
              <w:t xml:space="preserve">homozygous</w:t>
            </w:r>
          </w:p>
        </w:tc>
      </w:tr>
      <w:tr>
        <w:tc>
          <w:tcPr/>
          <w:p>
            <w:pPr>
              <w:pStyle w:val="Compact"/>
              <w:jc w:val="left"/>
            </w:pPr>
            <w:r>
              <w:t xml:space="preserve">ht</w:t>
            </w:r>
          </w:p>
        </w:tc>
        <w:tc>
          <w:tcPr/>
          <w:p>
            <w:pPr>
              <w:pStyle w:val="Compact"/>
              <w:jc w:val="left"/>
            </w:pPr>
            <w:r>
              <w:t xml:space="preserve">heterozygous</w:t>
            </w:r>
          </w:p>
        </w:tc>
      </w:tr>
      <w:tr>
        <w:tc>
          <w:tcPr/>
          <w:p>
            <w:pPr>
              <w:pStyle w:val="Compact"/>
              <w:jc w:val="left"/>
            </w:pPr>
            <w:r>
              <w:t xml:space="preserve">IM</w:t>
            </w:r>
          </w:p>
        </w:tc>
        <w:tc>
          <w:tcPr/>
          <w:p>
            <w:pPr>
              <w:pStyle w:val="Compact"/>
              <w:jc w:val="left"/>
            </w:pPr>
            <w:r>
              <w:t xml:space="preserve">Intermediate metabolizers</w:t>
            </w:r>
          </w:p>
        </w:tc>
      </w:tr>
      <w:tr>
        <w:tc>
          <w:tcPr/>
          <w:p>
            <w:pPr>
              <w:pStyle w:val="Compact"/>
              <w:jc w:val="left"/>
            </w:pPr>
            <w:r>
              <w:t xml:space="preserve">i.v.</w:t>
            </w:r>
          </w:p>
        </w:tc>
        <w:tc>
          <w:tcPr/>
          <w:p>
            <w:pPr>
              <w:pStyle w:val="Compact"/>
              <w:jc w:val="left"/>
            </w:pPr>
            <w:r>
              <w:t xml:space="preserve">Intravenous</w:t>
            </w:r>
          </w:p>
        </w:tc>
      </w:tr>
      <w:tr>
        <w:tc>
          <w:tcPr/>
          <w:p>
            <w:pPr>
              <w:pStyle w:val="Compact"/>
              <w:jc w:val="left"/>
            </w:pPr>
            <w:r>
              <w:t xml:space="preserve">IVIVE</w:t>
            </w:r>
          </w:p>
        </w:tc>
        <w:tc>
          <w:tcPr/>
          <w:p>
            <w:pPr>
              <w:pStyle w:val="Compact"/>
              <w:jc w:val="left"/>
            </w:pPr>
            <w:r>
              <w:t xml:space="preserve">In Vitro to In Vivo Extrapolation</w:t>
            </w:r>
          </w:p>
        </w:tc>
      </w:tr>
      <w:tr>
        <w:tc>
          <w:tcPr/>
          <w:p>
            <w:pPr>
              <w:pStyle w:val="Compact"/>
              <w:jc w:val="left"/>
            </w:pPr>
            <w:r>
              <w:t xml:space="preserve">Ka</w:t>
            </w:r>
          </w:p>
        </w:tc>
        <w:tc>
          <w:tcPr/>
          <w:p>
            <w:pPr>
              <w:pStyle w:val="Compact"/>
              <w:jc w:val="left"/>
            </w:pPr>
            <w:r>
              <w:t xml:space="preserve">Absorption rate constant</w:t>
            </w:r>
          </w:p>
        </w:tc>
      </w:tr>
      <w:tr>
        <w:tc>
          <w:tcPr/>
          <w:p>
            <w:pPr>
              <w:pStyle w:val="Compact"/>
              <w:jc w:val="left"/>
            </w:pPr>
            <w:r>
              <w:t xml:space="preserve">kcat</w:t>
            </w:r>
          </w:p>
        </w:tc>
        <w:tc>
          <w:tcPr/>
          <w:p>
            <w:pPr>
              <w:pStyle w:val="Compact"/>
              <w:jc w:val="left"/>
            </w:pPr>
            <w:r>
              <w:t xml:space="preserve">Catalyst rate constant</w:t>
            </w:r>
          </w:p>
        </w:tc>
      </w:tr>
      <w:tr>
        <w:tc>
          <w:tcPr/>
          <w:p>
            <w:pPr>
              <w:pStyle w:val="Compact"/>
              <w:jc w:val="left"/>
            </w:pPr>
            <w:r>
              <w:t xml:space="preserve">Ki</w:t>
            </w:r>
          </w:p>
        </w:tc>
        <w:tc>
          <w:tcPr/>
          <w:p>
            <w:pPr>
              <w:pStyle w:val="Compact"/>
              <w:jc w:val="left"/>
            </w:pPr>
            <w:r>
              <w:t xml:space="preserve">Inhibitor constant</w:t>
            </w:r>
          </w:p>
        </w:tc>
      </w:tr>
      <w:tr>
        <w:tc>
          <w:tcPr/>
          <w:p>
            <w:pPr>
              <w:pStyle w:val="Compact"/>
              <w:jc w:val="left"/>
            </w:pPr>
            <w:r>
              <w:t xml:space="preserve">Kinact</w:t>
            </w:r>
          </w:p>
        </w:tc>
        <w:tc>
          <w:tcPr/>
          <w:p>
            <w:pPr>
              <w:pStyle w:val="Compact"/>
              <w:jc w:val="left"/>
            </w:pPr>
            <w:r>
              <w:t xml:space="preserve">Rate of enzyme inactivation</w:t>
            </w:r>
          </w:p>
        </w:tc>
      </w:tr>
      <w:tr>
        <w:tc>
          <w:tcPr/>
          <w:p>
            <w:pPr>
              <w:pStyle w:val="Compact"/>
              <w:jc w:val="left"/>
            </w:pPr>
            <w:r>
              <w:t xml:space="preserve">Km</w:t>
            </w:r>
          </w:p>
        </w:tc>
        <w:tc>
          <w:tcPr/>
          <w:p>
            <w:pPr>
              <w:pStyle w:val="Compact"/>
              <w:jc w:val="left"/>
            </w:pPr>
            <w:r>
              <w:t xml:space="preserve">Michaelis Menten constant</w:t>
            </w:r>
          </w:p>
        </w:tc>
      </w:tr>
      <w:tr>
        <w:tc>
          <w:tcPr/>
          <w:p>
            <w:pPr>
              <w:pStyle w:val="Compact"/>
              <w:jc w:val="left"/>
            </w:pPr>
            <w:r>
              <w:t xml:space="preserve">m.d.</w:t>
            </w:r>
          </w:p>
        </w:tc>
        <w:tc>
          <w:tcPr/>
          <w:p>
            <w:pPr>
              <w:pStyle w:val="Compact"/>
              <w:jc w:val="left"/>
            </w:pPr>
            <w:r>
              <w:t xml:space="preserve">Multiple dose</w:t>
            </w:r>
          </w:p>
        </w:tc>
      </w:tr>
      <w:tr>
        <w:tc>
          <w:tcPr/>
          <w:p>
            <w:pPr>
              <w:pStyle w:val="Compact"/>
              <w:jc w:val="left"/>
            </w:pPr>
            <w:r>
              <w:t xml:space="preserve">OSP</w:t>
            </w:r>
          </w:p>
        </w:tc>
        <w:tc>
          <w:tcPr/>
          <w:p>
            <w:pPr>
              <w:pStyle w:val="Compact"/>
              <w:jc w:val="left"/>
            </w:pPr>
            <w:r>
              <w:t xml:space="preserve">Open Systems Pharmacology</w:t>
            </w:r>
          </w:p>
        </w:tc>
      </w:tr>
      <w:tr>
        <w:tc>
          <w:tcPr/>
          <w:p>
            <w:pPr>
              <w:pStyle w:val="Compact"/>
              <w:jc w:val="left"/>
            </w:pPr>
            <w:r>
              <w:t xml:space="preserve">PBPK</w:t>
            </w:r>
          </w:p>
        </w:tc>
        <w:tc>
          <w:tcPr/>
          <w:p>
            <w:pPr>
              <w:pStyle w:val="Compact"/>
              <w:jc w:val="left"/>
            </w:pPr>
            <w:r>
              <w:t xml:space="preserve">Physiologically-based pharmacokinetics</w:t>
            </w:r>
          </w:p>
        </w:tc>
      </w:tr>
      <w:tr>
        <w:tc>
          <w:tcPr/>
          <w:p>
            <w:pPr>
              <w:pStyle w:val="Compact"/>
              <w:jc w:val="left"/>
            </w:pPr>
            <w:r>
              <w:t xml:space="preserve">PK</w:t>
            </w:r>
          </w:p>
        </w:tc>
        <w:tc>
          <w:tcPr/>
          <w:p>
            <w:pPr>
              <w:pStyle w:val="Compact"/>
              <w:jc w:val="left"/>
            </w:pPr>
            <w:r>
              <w:t xml:space="preserve">Pharmacokinetics</w:t>
            </w:r>
          </w:p>
        </w:tc>
      </w:tr>
      <w:tr>
        <w:tc>
          <w:tcPr/>
          <w:p>
            <w:pPr>
              <w:pStyle w:val="Compact"/>
              <w:jc w:val="left"/>
            </w:pPr>
            <w:r>
              <w:t xml:space="preserve">PI</w:t>
            </w:r>
          </w:p>
        </w:tc>
        <w:tc>
          <w:tcPr/>
          <w:p>
            <w:pPr>
              <w:pStyle w:val="Compact"/>
              <w:jc w:val="left"/>
            </w:pPr>
            <w:r>
              <w:t xml:space="preserve">Parameter identification</w:t>
            </w:r>
          </w:p>
        </w:tc>
      </w:tr>
      <w:tr>
        <w:tc>
          <w:tcPr/>
          <w:p>
            <w:pPr>
              <w:pStyle w:val="Compact"/>
              <w:jc w:val="left"/>
            </w:pPr>
            <w:r>
              <w:t xml:space="preserve">PM</w:t>
            </w:r>
          </w:p>
        </w:tc>
        <w:tc>
          <w:tcPr/>
          <w:p>
            <w:pPr>
              <w:pStyle w:val="Compact"/>
              <w:jc w:val="left"/>
            </w:pPr>
            <w:r>
              <w:t xml:space="preserve">Poor metabolizers</w:t>
            </w:r>
          </w:p>
        </w:tc>
      </w:tr>
      <w:tr>
        <w:tc>
          <w:tcPr/>
          <w:p>
            <w:pPr>
              <w:pStyle w:val="Compact"/>
              <w:jc w:val="left"/>
            </w:pPr>
            <w:r>
              <w:t xml:space="preserve">RT-PCR</w:t>
            </w:r>
          </w:p>
        </w:tc>
        <w:tc>
          <w:tcPr/>
          <w:p>
            <w:pPr>
              <w:pStyle w:val="Compact"/>
              <w:jc w:val="left"/>
            </w:pPr>
            <w:r>
              <w:t xml:space="preserve">Reverse transcription polymerase chain reaction</w:t>
            </w:r>
          </w:p>
        </w:tc>
      </w:tr>
      <w:tr>
        <w:tc>
          <w:tcPr/>
          <w:p>
            <w:pPr>
              <w:pStyle w:val="Compact"/>
              <w:jc w:val="left"/>
            </w:pPr>
            <w:r>
              <w:t xml:space="preserve">p.o.</w:t>
            </w:r>
          </w:p>
        </w:tc>
        <w:tc>
          <w:tcPr/>
          <w:p>
            <w:pPr>
              <w:pStyle w:val="Compact"/>
              <w:jc w:val="left"/>
            </w:pPr>
            <w:r>
              <w:t xml:space="preserve">Per os</w:t>
            </w:r>
          </w:p>
        </w:tc>
      </w:tr>
      <w:tr>
        <w:tc>
          <w:tcPr/>
          <w:p>
            <w:pPr>
              <w:pStyle w:val="Compact"/>
              <w:jc w:val="left"/>
            </w:pPr>
            <w:r>
              <w:t xml:space="preserve">q.d.</w:t>
            </w:r>
          </w:p>
        </w:tc>
        <w:tc>
          <w:tcPr/>
          <w:p>
            <w:pPr>
              <w:pStyle w:val="Compact"/>
              <w:jc w:val="left"/>
            </w:pPr>
            <w:r>
              <w:t xml:space="preserve">Once daily (quaque diem)</w:t>
            </w:r>
          </w:p>
        </w:tc>
      </w:tr>
      <w:tr>
        <w:tc>
          <w:tcPr/>
          <w:p>
            <w:pPr>
              <w:pStyle w:val="Compact"/>
              <w:jc w:val="left"/>
            </w:pPr>
            <w:r>
              <w:t xml:space="preserve">SD</w:t>
            </w:r>
          </w:p>
        </w:tc>
        <w:tc>
          <w:tcPr/>
          <w:p>
            <w:pPr>
              <w:pStyle w:val="Compact"/>
              <w:jc w:val="left"/>
            </w:pPr>
            <w:r>
              <w:t xml:space="preserve">Single Dose</w:t>
            </w:r>
          </w:p>
        </w:tc>
      </w:tr>
      <w:tr>
        <w:tc>
          <w:tcPr/>
          <w:p>
            <w:pPr>
              <w:pStyle w:val="Compact"/>
              <w:jc w:val="left"/>
            </w:pPr>
            <w:r>
              <w:t xml:space="preserve">SE</w:t>
            </w:r>
          </w:p>
        </w:tc>
        <w:tc>
          <w:tcPr/>
          <w:p>
            <w:pPr>
              <w:pStyle w:val="Compact"/>
              <w:jc w:val="left"/>
            </w:pPr>
            <w:r>
              <w:t xml:space="preserve">Standard error</w:t>
            </w:r>
          </w:p>
        </w:tc>
      </w:tr>
      <w:tr>
        <w:tc>
          <w:tcPr/>
          <w:p>
            <w:pPr>
              <w:pStyle w:val="Compact"/>
              <w:jc w:val="left"/>
            </w:pPr>
            <w:r>
              <w:t xml:space="preserve">s.d.SPC</w:t>
            </w:r>
          </w:p>
        </w:tc>
        <w:tc>
          <w:tcPr/>
          <w:p>
            <w:pPr>
              <w:pStyle w:val="Compact"/>
              <w:jc w:val="left"/>
            </w:pPr>
            <w:r>
              <w:t xml:space="preserve">Single dose Summary of Product Characteristics</w:t>
            </w:r>
          </w:p>
        </w:tc>
      </w:tr>
      <w:tr>
        <w:tc>
          <w:tcPr/>
          <w:p>
            <w:pPr>
              <w:pStyle w:val="Compact"/>
              <w:jc w:val="left"/>
            </w:pPr>
            <w:r>
              <w:t xml:space="preserve">SD</w:t>
            </w:r>
          </w:p>
        </w:tc>
        <w:tc>
          <w:tcPr/>
          <w:p>
            <w:pPr>
              <w:pStyle w:val="Compact"/>
              <w:jc w:val="left"/>
            </w:pPr>
            <w:r>
              <w:t xml:space="preserve">Standard deviation</w:t>
            </w:r>
          </w:p>
        </w:tc>
      </w:tr>
      <w:tr>
        <w:tc>
          <w:tcPr/>
          <w:p>
            <w:pPr>
              <w:pStyle w:val="Compact"/>
              <w:jc w:val="left"/>
            </w:pPr>
            <w:r>
              <w:t xml:space="preserve">TDI</w:t>
            </w:r>
          </w:p>
        </w:tc>
        <w:tc>
          <w:tcPr/>
          <w:p>
            <w:pPr>
              <w:pStyle w:val="Compact"/>
              <w:jc w:val="left"/>
            </w:pPr>
            <w:r>
              <w:t xml:space="preserve">Time dependent inhibition</w:t>
            </w:r>
          </w:p>
        </w:tc>
      </w:tr>
      <w:tr>
        <w:tc>
          <w:tcPr/>
          <w:p>
            <w:pPr>
              <w:pStyle w:val="Compact"/>
              <w:jc w:val="left"/>
            </w:pPr>
            <w:r>
              <w:t xml:space="preserve">t.i.d</w:t>
            </w:r>
          </w:p>
        </w:tc>
        <w:tc>
          <w:tcPr/>
          <w:p>
            <w:pPr>
              <w:pStyle w:val="Compact"/>
              <w:jc w:val="left"/>
            </w:pPr>
            <w:r>
              <w:t xml:space="preserve">Three times a day (ter in die)</w:t>
            </w:r>
          </w:p>
        </w:tc>
      </w:tr>
      <w:tr>
        <w:tc>
          <w:tcPr/>
          <w:p>
            <w:pPr>
              <w:pStyle w:val="Compact"/>
              <w:jc w:val="left"/>
            </w:pPr>
            <w:r>
              <w:t xml:space="preserve">UGT</w:t>
            </w:r>
          </w:p>
        </w:tc>
        <w:tc>
          <w:tcPr/>
          <w:p>
            <w:pPr>
              <w:pStyle w:val="Compact"/>
              <w:jc w:val="left"/>
            </w:pPr>
            <w:r>
              <w:t xml:space="preserve">Uridine 5’-diphospho-glucuronosyltransferase</w:t>
            </w:r>
          </w:p>
        </w:tc>
      </w:tr>
      <w:tr>
        <w:tc>
          <w:tcPr/>
          <w:p>
            <w:pPr>
              <w:pStyle w:val="Compact"/>
              <w:jc w:val="left"/>
            </w:pPr>
            <w:r>
              <w:t xml:space="preserve">UM</w:t>
            </w:r>
          </w:p>
        </w:tc>
        <w:tc>
          <w:tcPr/>
          <w:p>
            <w:pPr>
              <w:pStyle w:val="Compact"/>
              <w:jc w:val="left"/>
            </w:pPr>
            <w:r>
              <w:t xml:space="preserve">Ultra-rapid metabolizers</w:t>
            </w:r>
          </w:p>
        </w:tc>
      </w:tr>
    </w:tbl>
    <w:bookmarkEnd w:id="190"/>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6" Target="media/rId136.png" /><Relationship Type="http://schemas.openxmlformats.org/officeDocument/2006/relationships/image" Id="rId133" Target="media/rId133.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1" Target="media/rId21.png" /><Relationship Type="http://schemas.openxmlformats.org/officeDocument/2006/relationships/image" Id="rId33" Target="media/rId33.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60" Target="media/rId160.png" /><Relationship Type="http://schemas.openxmlformats.org/officeDocument/2006/relationships/hyperlink" Id="rId178" Target="http://www.open-systems-pharmacology.org" TargetMode="External" /><Relationship Type="http://schemas.openxmlformats.org/officeDocument/2006/relationships/hyperlink" Id="rId164" Target="http://www.open-systems-pharmacology.org/" TargetMode="External" /><Relationship Type="http://schemas.openxmlformats.org/officeDocument/2006/relationships/hyperlink" Id="rId159" Target="https://docs.open-systems-pharmacology.org/mechanistic-modeling-of-pharmacokinetics-and-dynamics/modeling-concepts" TargetMode="External" /><Relationship Type="http://schemas.openxmlformats.org/officeDocument/2006/relationships/hyperlink" Id="rId174"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176" Target="https://docs.open-systems-pharmacology.org/working-with-pk-sim/pk-sim-documentation/pk-sim-compounds-defining-inhibition-induction-processes#enzyme-induction" TargetMode="External" /><Relationship Type="http://schemas.openxmlformats.org/officeDocument/2006/relationships/hyperlink" Id="rId175" Target="https://docs.open-systems-pharmacology.org/working-with-pk-sim/pk-sim-documentation/pk-sim-compounds-defining-inhibition-induction-processes#irreversible-inhibition" TargetMode="External" /><Relationship Type="http://schemas.openxmlformats.org/officeDocument/2006/relationships/hyperlink" Id="rId182" Target="https://github.com/Open-Systems-Pharmacology/" TargetMode="External" /><Relationship Type="http://schemas.openxmlformats.org/officeDocument/2006/relationships/hyperlink" Id="rId186" Target="https://github.com/Open-Systems-Pharmacology/QualificationRunner" TargetMode="External" /><Relationship Type="http://schemas.openxmlformats.org/officeDocument/2006/relationships/hyperlink" Id="rId187" Target="https://github.com/Open-Systems-Pharmacology/Reporting-Engine" TargetMode="External" /><Relationship Type="http://schemas.openxmlformats.org/officeDocument/2006/relationships/hyperlink" Id="rId166" Target="https://onlinelibrary.wiley.com/doi/pdf/10.1002/3527603034.ch26" TargetMode="External" /><Relationship Type="http://schemas.openxmlformats.org/officeDocument/2006/relationships/hyperlink" Id="rId165" Target="https://www.ncbi.nlm.nih.gov/pubmed/15267240" TargetMode="External" /><Relationship Type="http://schemas.openxmlformats.org/officeDocument/2006/relationships/hyperlink" Id="rId168" Target="https://www.ncbi.nlm.nih.gov/pubmed/15858854" TargetMode="External" /><Relationship Type="http://schemas.openxmlformats.org/officeDocument/2006/relationships/hyperlink" Id="rId169" Target="https://www.ncbi.nlm.nih.gov/pubmed/16639716" TargetMode="External" /><Relationship Type="http://schemas.openxmlformats.org/officeDocument/2006/relationships/hyperlink" Id="rId167" Target="https://www.ncbi.nlm.nih.gov/pubmed/16922658" TargetMode="External" /><Relationship Type="http://schemas.openxmlformats.org/officeDocument/2006/relationships/hyperlink" Id="rId170" Target="https://www.ncbi.nlm.nih.gov/pubmed/17372687" TargetMode="External" /><Relationship Type="http://schemas.openxmlformats.org/officeDocument/2006/relationships/hyperlink" Id="rId171" Target="https://www.ncbi.nlm.nih.gov/pubmed/17431751" TargetMode="External" /><Relationship Type="http://schemas.openxmlformats.org/officeDocument/2006/relationships/hyperlink" Id="rId172"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178" Target="http://www.open-systems-pharmacology.org" TargetMode="External" /><Relationship Type="http://schemas.openxmlformats.org/officeDocument/2006/relationships/hyperlink" Id="rId164" Target="http://www.open-systems-pharmacology.org/" TargetMode="External" /><Relationship Type="http://schemas.openxmlformats.org/officeDocument/2006/relationships/hyperlink" Id="rId159" Target="https://docs.open-systems-pharmacology.org/mechanistic-modeling-of-pharmacokinetics-and-dynamics/modeling-concepts" TargetMode="External" /><Relationship Type="http://schemas.openxmlformats.org/officeDocument/2006/relationships/hyperlink" Id="rId174"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176" Target="https://docs.open-systems-pharmacology.org/working-with-pk-sim/pk-sim-documentation/pk-sim-compounds-defining-inhibition-induction-processes#enzyme-induction" TargetMode="External" /><Relationship Type="http://schemas.openxmlformats.org/officeDocument/2006/relationships/hyperlink" Id="rId175" Target="https://docs.open-systems-pharmacology.org/working-with-pk-sim/pk-sim-documentation/pk-sim-compounds-defining-inhibition-induction-processes#irreversible-inhibition" TargetMode="External" /><Relationship Type="http://schemas.openxmlformats.org/officeDocument/2006/relationships/hyperlink" Id="rId182" Target="https://github.com/Open-Systems-Pharmacology/" TargetMode="External" /><Relationship Type="http://schemas.openxmlformats.org/officeDocument/2006/relationships/hyperlink" Id="rId186" Target="https://github.com/Open-Systems-Pharmacology/QualificationRunner" TargetMode="External" /><Relationship Type="http://schemas.openxmlformats.org/officeDocument/2006/relationships/hyperlink" Id="rId187" Target="https://github.com/Open-Systems-Pharmacology/Reporting-Engine" TargetMode="External" /><Relationship Type="http://schemas.openxmlformats.org/officeDocument/2006/relationships/hyperlink" Id="rId166" Target="https://onlinelibrary.wiley.com/doi/pdf/10.1002/3527603034.ch26" TargetMode="External" /><Relationship Type="http://schemas.openxmlformats.org/officeDocument/2006/relationships/hyperlink" Id="rId165" Target="https://www.ncbi.nlm.nih.gov/pubmed/15267240" TargetMode="External" /><Relationship Type="http://schemas.openxmlformats.org/officeDocument/2006/relationships/hyperlink" Id="rId168" Target="https://www.ncbi.nlm.nih.gov/pubmed/15858854" TargetMode="External" /><Relationship Type="http://schemas.openxmlformats.org/officeDocument/2006/relationships/hyperlink" Id="rId169" Target="https://www.ncbi.nlm.nih.gov/pubmed/16639716" TargetMode="External" /><Relationship Type="http://schemas.openxmlformats.org/officeDocument/2006/relationships/hyperlink" Id="rId167" Target="https://www.ncbi.nlm.nih.gov/pubmed/16922658" TargetMode="External" /><Relationship Type="http://schemas.openxmlformats.org/officeDocument/2006/relationships/hyperlink" Id="rId170" Target="https://www.ncbi.nlm.nih.gov/pubmed/17372687" TargetMode="External" /><Relationship Type="http://schemas.openxmlformats.org/officeDocument/2006/relationships/hyperlink" Id="rId171" Target="https://www.ncbi.nlm.nih.gov/pubmed/17431751" TargetMode="External" /><Relationship Type="http://schemas.openxmlformats.org/officeDocument/2006/relationships/hyperlink" Id="rId172"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CYP1A2 DDI Qualification</dc:title>
  <dc:creator/>
  <cp:keywords/>
  <dcterms:created xsi:type="dcterms:W3CDTF">2025-06-04T13:45:52Z</dcterms:created>
  <dcterms:modified xsi:type="dcterms:W3CDTF">2025-06-04T13:45:52Z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Version1.0-OSP12.0Qualification Plan Releasehttps://github.com/Open-Systems-Pharmacology/Qualification-DDI-CYP1A2/releases/tag/v1.0OSP Version12.0Qualification Framework Version3.3This qualification report is filed at:https://github.com/Open-Systems-Pharmacology/OSP-Qualification-Reports</vt:lpwstr>
  </property>
  <property fmtid="{D5CDD505-2E9C-101B-9397-08002B2CF9AE}" pid="3" name="subtitle">
    <vt:lpwstr/>
  </property>
</Properties>
</file>